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E2D4" w14:textId="13AB57D5" w:rsidR="005D67BB" w:rsidRDefault="005D67BB" w:rsidP="0064354F">
      <w:pPr>
        <w:pStyle w:val="Heading1"/>
      </w:pPr>
      <w:r w:rsidRPr="005D67BB">
        <w:t>Antibiotic usage data in pigs from the</w:t>
      </w:r>
      <w:r>
        <w:t xml:space="preserve"> </w:t>
      </w:r>
      <w:r w:rsidRPr="005D67BB">
        <w:t>electronic Medicines Book (eMB): 2025</w:t>
      </w:r>
    </w:p>
    <w:p w14:paraId="3FA5A01A" w14:textId="545A493C" w:rsidR="00DD16C6" w:rsidRPr="00B31E1F" w:rsidRDefault="005D67BB" w:rsidP="0064354F">
      <w:pPr>
        <w:pStyle w:val="Heading2"/>
        <w:jc w:val="left"/>
      </w:pPr>
      <w:r w:rsidRPr="005D67BB">
        <w:t>Scope and limitations of the data</w:t>
      </w:r>
    </w:p>
    <w:p w14:paraId="20A5A544" w14:textId="77777777" w:rsidR="00C752AF" w:rsidRDefault="005D67BB" w:rsidP="00C752AF">
      <w:pPr>
        <w:pStyle w:val="ListParagraph"/>
        <w:numPr>
          <w:ilvl w:val="0"/>
          <w:numId w:val="44"/>
        </w:numPr>
      </w:pPr>
      <w:r w:rsidRPr="00C752AF">
        <w:t>These data are national, aggregated figures for antibiotic usage calculated from individual unit data held in the eMB for pig farms across the UK. eMB uptake to date has been voluntary and this sample may not be representative for the whole of the UK</w:t>
      </w:r>
    </w:p>
    <w:p w14:paraId="690584F7" w14:textId="77777777" w:rsidR="00C752AF" w:rsidRDefault="00C752AF" w:rsidP="00C752AF">
      <w:pPr>
        <w:pStyle w:val="ListParagraph"/>
      </w:pPr>
    </w:p>
    <w:p w14:paraId="6A1B1A13" w14:textId="46DE655B" w:rsidR="00C752AF" w:rsidRDefault="005D67BB" w:rsidP="00C752AF">
      <w:pPr>
        <w:pStyle w:val="ListParagraph"/>
        <w:numPr>
          <w:ilvl w:val="0"/>
          <w:numId w:val="44"/>
        </w:numPr>
      </w:pPr>
      <w:r w:rsidRPr="00C752AF">
        <w:t>In terms of UK pig production, these eMB data cover over 96% of slaughter pigs for 2024. As in previous years, UK clean pig slaughter data are sourced from Defra and</w:t>
      </w:r>
      <w:r w:rsidR="00005FBF" w:rsidRPr="00C752AF">
        <w:t xml:space="preserve"> the</w:t>
      </w:r>
      <w:r w:rsidRPr="00C752AF">
        <w:t xml:space="preserve"> </w:t>
      </w:r>
      <w:r w:rsidR="00005FBF" w:rsidRPr="00C752AF">
        <w:t>Department of Agriculture, Environment and Rural Affairs (</w:t>
      </w:r>
      <w:r w:rsidRPr="00C752AF">
        <w:t>Daera</w:t>
      </w:r>
      <w:r w:rsidR="00005FBF" w:rsidRPr="00C752AF">
        <w:t>)</w:t>
      </w:r>
      <w:r w:rsidRPr="00C752AF">
        <w:t>. We regularly review this measure of coverage to ensure it continues to be appropriate</w:t>
      </w:r>
    </w:p>
    <w:p w14:paraId="260FEA4A" w14:textId="77777777" w:rsidR="00C752AF" w:rsidRDefault="00C752AF" w:rsidP="00C752AF">
      <w:pPr>
        <w:pStyle w:val="ListParagraph"/>
      </w:pPr>
    </w:p>
    <w:p w14:paraId="5C21A978" w14:textId="4146DF00" w:rsidR="00C752AF" w:rsidRDefault="005D67BB" w:rsidP="00C752AF">
      <w:pPr>
        <w:pStyle w:val="ListParagraph"/>
        <w:numPr>
          <w:ilvl w:val="0"/>
          <w:numId w:val="44"/>
        </w:numPr>
      </w:pPr>
      <w:r w:rsidRPr="00C752AF">
        <w:t>The data are inputted by producers</w:t>
      </w:r>
      <w:r w:rsidR="00116649">
        <w:t>,</w:t>
      </w:r>
      <w:r w:rsidRPr="00C752AF">
        <w:t xml:space="preserve"> and although clear outliers have been identified and queried, AHDB is not able to validate every individual producer’s data. However, at a national, aggregated level, the data provide an estimation of national usage and allow year-on-year comparisons to be made</w:t>
      </w:r>
    </w:p>
    <w:p w14:paraId="2629091B" w14:textId="77777777" w:rsidR="00C752AF" w:rsidRDefault="00C752AF" w:rsidP="00C752AF">
      <w:pPr>
        <w:pStyle w:val="ListParagraph"/>
      </w:pPr>
    </w:p>
    <w:p w14:paraId="25414F96" w14:textId="77777777" w:rsidR="00C752AF" w:rsidRDefault="005D67BB" w:rsidP="00C752AF">
      <w:pPr>
        <w:pStyle w:val="ListParagraph"/>
        <w:numPr>
          <w:ilvl w:val="0"/>
          <w:numId w:val="44"/>
        </w:numPr>
      </w:pPr>
      <w:r w:rsidRPr="00C752AF">
        <w:t>These data were extracted from eMB on 29 May 2025, and these figures will now be fixed as the reference levels for 2024. Producers may still add 2024 data to eMB for their own usage, but data entered or modified after this date will not be used to further amend the national aggregated figures</w:t>
      </w:r>
    </w:p>
    <w:p w14:paraId="794B5038" w14:textId="77777777" w:rsidR="00C752AF" w:rsidRDefault="00C752AF" w:rsidP="00C752AF">
      <w:pPr>
        <w:pStyle w:val="ListParagraph"/>
      </w:pPr>
    </w:p>
    <w:p w14:paraId="2FFB88D4" w14:textId="77777777" w:rsidR="00C752AF" w:rsidRDefault="005D67BB" w:rsidP="00C752AF">
      <w:pPr>
        <w:pStyle w:val="ListParagraph"/>
        <w:numPr>
          <w:ilvl w:val="0"/>
          <w:numId w:val="44"/>
        </w:numPr>
      </w:pPr>
      <w:r w:rsidRPr="00C752AF">
        <w:t>The eMB database and the calculations within it are regularly subjected to a series of quality assurance checks to ensure national aggregated figures are as accurate as possible. As a result of this process, the eMB system is continuing to develop and work to further improve data accuracy is ongoing</w:t>
      </w:r>
    </w:p>
    <w:p w14:paraId="411B2A41" w14:textId="77777777" w:rsidR="00C752AF" w:rsidRDefault="00C752AF" w:rsidP="00C752AF">
      <w:pPr>
        <w:pStyle w:val="ListParagraph"/>
      </w:pPr>
    </w:p>
    <w:p w14:paraId="232E183D" w14:textId="56E5E78D" w:rsidR="00A568CB" w:rsidRPr="00C752AF" w:rsidRDefault="005D67BB" w:rsidP="00C752AF">
      <w:pPr>
        <w:pStyle w:val="ListParagraph"/>
        <w:numPr>
          <w:ilvl w:val="0"/>
          <w:numId w:val="44"/>
        </w:numPr>
      </w:pPr>
      <w:r w:rsidRPr="00C752AF">
        <w:t>The calculations used for the eMB data are in</w:t>
      </w:r>
      <w:r w:rsidR="00116649">
        <w:t xml:space="preserve"> </w:t>
      </w:r>
      <w:r w:rsidRPr="00C752AF">
        <w:t>line with the methods used by the European Surveillance of Veterinary Antimicrobial Consumption (ESVAC) project to allow comparisons to be made with European counterparts</w:t>
      </w:r>
    </w:p>
    <w:p w14:paraId="4447576B" w14:textId="77777777" w:rsidR="00850231" w:rsidRDefault="00850231" w:rsidP="00D31650">
      <w:pPr>
        <w:rPr>
          <w:b/>
          <w:bCs/>
        </w:rPr>
      </w:pPr>
    </w:p>
    <w:p w14:paraId="6448B15F" w14:textId="4F2D9807" w:rsidR="00D31650" w:rsidRPr="007E3B8E" w:rsidRDefault="00D31650" w:rsidP="00D31650">
      <w:pPr>
        <w:rPr>
          <w:b/>
          <w:bCs/>
        </w:rPr>
      </w:pPr>
      <w:r w:rsidRPr="00854E1C">
        <w:rPr>
          <w:b/>
          <w:bCs/>
        </w:rPr>
        <w:t xml:space="preserve">Table </w:t>
      </w:r>
      <w:r>
        <w:rPr>
          <w:b/>
          <w:bCs/>
        </w:rPr>
        <w:t>1</w:t>
      </w:r>
      <w:r w:rsidRPr="00854E1C">
        <w:rPr>
          <w:b/>
          <w:bCs/>
        </w:rPr>
        <w:t xml:space="preserve">. </w:t>
      </w:r>
      <w:r w:rsidR="00A83647">
        <w:rPr>
          <w:b/>
          <w:bCs/>
        </w:rPr>
        <w:t>Name, title</w:t>
      </w:r>
      <w:r w:rsidR="009372F3">
        <w:rPr>
          <w:b/>
          <w:bCs/>
        </w:rPr>
        <w:t xml:space="preserve"> and dated </w:t>
      </w:r>
      <w:r w:rsidR="00A83647">
        <w:rPr>
          <w:b/>
          <w:bCs/>
        </w:rPr>
        <w:t>signature</w:t>
      </w:r>
      <w:r w:rsidR="009372F3">
        <w:rPr>
          <w:b/>
          <w:bCs/>
        </w:rPr>
        <w:t xml:space="preserve"> </w:t>
      </w:r>
      <w:r w:rsidR="00A83647">
        <w:rPr>
          <w:b/>
          <w:bCs/>
        </w:rPr>
        <w:t xml:space="preserve">of </w:t>
      </w:r>
      <w:r w:rsidR="002359AA">
        <w:rPr>
          <w:b/>
          <w:bCs/>
        </w:rPr>
        <w:t xml:space="preserve">report authors </w:t>
      </w:r>
    </w:p>
    <w:tbl>
      <w:tblPr>
        <w:tblStyle w:val="TableGrid"/>
        <w:tblW w:w="0" w:type="auto"/>
        <w:tblLook w:val="04A0" w:firstRow="1" w:lastRow="0" w:firstColumn="1" w:lastColumn="0" w:noHBand="0" w:noVBand="1"/>
      </w:tblPr>
      <w:tblGrid>
        <w:gridCol w:w="1341"/>
        <w:gridCol w:w="3474"/>
        <w:gridCol w:w="3084"/>
        <w:gridCol w:w="1117"/>
      </w:tblGrid>
      <w:tr w:rsidR="005D67BB" w:rsidRPr="00AC4009" w14:paraId="74934F9D" w14:textId="77777777" w:rsidTr="002A271C">
        <w:trPr>
          <w:trHeight w:val="317"/>
        </w:trPr>
        <w:tc>
          <w:tcPr>
            <w:tcW w:w="1341" w:type="dxa"/>
          </w:tcPr>
          <w:p w14:paraId="5C51E1D4" w14:textId="2FB40E89" w:rsidR="005D67BB" w:rsidRDefault="00BD3204" w:rsidP="0064354F">
            <w:pPr>
              <w:pStyle w:val="Tableheading"/>
              <w:jc w:val="left"/>
            </w:pPr>
            <w:r>
              <w:t>Role</w:t>
            </w:r>
          </w:p>
        </w:tc>
        <w:tc>
          <w:tcPr>
            <w:tcW w:w="3474" w:type="dxa"/>
          </w:tcPr>
          <w:p w14:paraId="4C516DD6" w14:textId="6B1680AF" w:rsidR="005D67BB" w:rsidRPr="00AC4009" w:rsidRDefault="002A271C" w:rsidP="008208C6">
            <w:pPr>
              <w:pStyle w:val="Tableheading"/>
            </w:pPr>
            <w:r w:rsidRPr="002A271C">
              <w:t>Name and title</w:t>
            </w:r>
          </w:p>
        </w:tc>
        <w:tc>
          <w:tcPr>
            <w:tcW w:w="3084" w:type="dxa"/>
          </w:tcPr>
          <w:p w14:paraId="6AEF9331" w14:textId="04043FA8" w:rsidR="005D67BB" w:rsidRDefault="002A271C" w:rsidP="008208C6">
            <w:pPr>
              <w:pStyle w:val="Tableheading"/>
            </w:pPr>
            <w:r w:rsidRPr="002A271C">
              <w:t>Signature</w:t>
            </w:r>
          </w:p>
        </w:tc>
        <w:tc>
          <w:tcPr>
            <w:tcW w:w="1117" w:type="dxa"/>
          </w:tcPr>
          <w:p w14:paraId="03EEA096" w14:textId="329DCB1F" w:rsidR="005D67BB" w:rsidRPr="00AC4009" w:rsidRDefault="002A271C" w:rsidP="008208C6">
            <w:pPr>
              <w:pStyle w:val="Tableheading"/>
            </w:pPr>
            <w:r>
              <w:t>Date</w:t>
            </w:r>
          </w:p>
        </w:tc>
      </w:tr>
      <w:tr w:rsidR="005D67BB" w:rsidRPr="00AC4009" w14:paraId="2657038B" w14:textId="77777777" w:rsidTr="002A271C">
        <w:trPr>
          <w:trHeight w:val="317"/>
        </w:trPr>
        <w:tc>
          <w:tcPr>
            <w:tcW w:w="1341" w:type="dxa"/>
          </w:tcPr>
          <w:p w14:paraId="526231EB" w14:textId="143D0ECD" w:rsidR="005D67BB" w:rsidRDefault="002A271C" w:rsidP="0064354F">
            <w:pPr>
              <w:pStyle w:val="Table-Body-leftaligned"/>
              <w:rPr>
                <w:bCs/>
              </w:rPr>
            </w:pPr>
            <w:r w:rsidRPr="002A271C">
              <w:rPr>
                <w:bCs/>
              </w:rPr>
              <w:t>Prepared by</w:t>
            </w:r>
          </w:p>
        </w:tc>
        <w:tc>
          <w:tcPr>
            <w:tcW w:w="3474" w:type="dxa"/>
            <w:hideMark/>
          </w:tcPr>
          <w:p w14:paraId="7D965DEF" w14:textId="77777777" w:rsidR="002A271C" w:rsidRPr="002A271C" w:rsidRDefault="002A271C" w:rsidP="002A271C">
            <w:pPr>
              <w:pStyle w:val="Table-Body-leftaligned"/>
              <w:rPr>
                <w:bCs/>
              </w:rPr>
            </w:pPr>
            <w:r w:rsidRPr="002A271C">
              <w:rPr>
                <w:bCs/>
              </w:rPr>
              <w:t>Jennifer Newman</w:t>
            </w:r>
          </w:p>
          <w:p w14:paraId="1C21F631" w14:textId="0C9E89C5" w:rsidR="005D67BB" w:rsidRPr="007D4AFD" w:rsidRDefault="002A271C" w:rsidP="002A271C">
            <w:pPr>
              <w:pStyle w:val="Table-Body-leftaligned"/>
              <w:rPr>
                <w:b/>
                <w:bCs/>
              </w:rPr>
            </w:pPr>
            <w:r w:rsidRPr="002A271C">
              <w:rPr>
                <w:bCs/>
              </w:rPr>
              <w:t>Lead Livestock Science Data Specialist</w:t>
            </w:r>
          </w:p>
        </w:tc>
        <w:tc>
          <w:tcPr>
            <w:tcW w:w="3084" w:type="dxa"/>
          </w:tcPr>
          <w:p w14:paraId="5DEE65E7" w14:textId="52027A1F" w:rsidR="005D67BB" w:rsidRDefault="002A271C" w:rsidP="008208C6">
            <w:pPr>
              <w:pStyle w:val="Table-Body-centred"/>
              <w:spacing w:before="144" w:after="144"/>
            </w:pPr>
            <w:r w:rsidRPr="002A271C">
              <w:rPr>
                <w:noProof/>
              </w:rPr>
              <w:drawing>
                <wp:inline distT="0" distB="0" distL="0" distR="0" wp14:anchorId="34576B86" wp14:editId="35063285">
                  <wp:extent cx="1492250" cy="438150"/>
                  <wp:effectExtent l="0" t="0" r="0" b="0"/>
                  <wp:docPr id="1032171015" name="Picture 3" descr="Signature of Jennifer Newman, Lead Livestock Science Data Speciali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71015" name="Picture 3" descr="Signature of Jennifer Newman, Lead Livestock Science Data Specialist&#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0" cy="438150"/>
                          </a:xfrm>
                          <a:prstGeom prst="rect">
                            <a:avLst/>
                          </a:prstGeom>
                          <a:noFill/>
                          <a:ln>
                            <a:noFill/>
                          </a:ln>
                        </pic:spPr>
                      </pic:pic>
                    </a:graphicData>
                  </a:graphic>
                </wp:inline>
              </w:drawing>
            </w:r>
          </w:p>
        </w:tc>
        <w:tc>
          <w:tcPr>
            <w:tcW w:w="1117" w:type="dxa"/>
          </w:tcPr>
          <w:p w14:paraId="1DC84049" w14:textId="35CC354D" w:rsidR="005D67BB" w:rsidRPr="00AC4009" w:rsidRDefault="00A32ADA" w:rsidP="008208C6">
            <w:pPr>
              <w:pStyle w:val="Table-Body-centred"/>
              <w:spacing w:before="144" w:after="144"/>
            </w:pPr>
            <w:r>
              <w:t>1 May 2026</w:t>
            </w:r>
          </w:p>
        </w:tc>
      </w:tr>
      <w:tr w:rsidR="005D67BB" w:rsidRPr="00AC4009" w14:paraId="4E472779" w14:textId="77777777" w:rsidTr="002A271C">
        <w:trPr>
          <w:trHeight w:val="300"/>
        </w:trPr>
        <w:tc>
          <w:tcPr>
            <w:tcW w:w="1341" w:type="dxa"/>
          </w:tcPr>
          <w:p w14:paraId="732FA8DC" w14:textId="3955DA33" w:rsidR="005D67BB" w:rsidRDefault="002A271C" w:rsidP="008A0B15">
            <w:pPr>
              <w:pStyle w:val="Table-Body-leftaligned"/>
              <w:rPr>
                <w:bCs/>
              </w:rPr>
            </w:pPr>
            <w:r w:rsidRPr="002A271C">
              <w:rPr>
                <w:bCs/>
              </w:rPr>
              <w:t>Reviewed by</w:t>
            </w:r>
          </w:p>
        </w:tc>
        <w:tc>
          <w:tcPr>
            <w:tcW w:w="3474" w:type="dxa"/>
            <w:hideMark/>
          </w:tcPr>
          <w:p w14:paraId="2250ADA6" w14:textId="77777777" w:rsidR="002A271C" w:rsidRPr="002A271C" w:rsidRDefault="002A271C" w:rsidP="002A271C">
            <w:pPr>
              <w:pStyle w:val="Table-Body-leftaligned"/>
              <w:rPr>
                <w:bCs/>
              </w:rPr>
            </w:pPr>
            <w:r w:rsidRPr="002A271C">
              <w:rPr>
                <w:bCs/>
              </w:rPr>
              <w:t>Mandy Nevel</w:t>
            </w:r>
          </w:p>
          <w:p w14:paraId="066DF710" w14:textId="4CF10349" w:rsidR="005D67BB" w:rsidRPr="007D4AFD" w:rsidRDefault="002A271C" w:rsidP="002A271C">
            <w:pPr>
              <w:pStyle w:val="Table-Body-leftaligned"/>
              <w:rPr>
                <w:b/>
                <w:bCs/>
              </w:rPr>
            </w:pPr>
            <w:r w:rsidRPr="002A271C">
              <w:rPr>
                <w:bCs/>
              </w:rPr>
              <w:t xml:space="preserve">Head of Animal Health </w:t>
            </w:r>
            <w:r w:rsidR="00116649">
              <w:rPr>
                <w:bCs/>
              </w:rPr>
              <w:t>and</w:t>
            </w:r>
            <w:r w:rsidR="00116649" w:rsidRPr="002A271C">
              <w:rPr>
                <w:bCs/>
              </w:rPr>
              <w:t xml:space="preserve"> </w:t>
            </w:r>
            <w:r w:rsidRPr="002A271C">
              <w:rPr>
                <w:bCs/>
              </w:rPr>
              <w:t>Welfare</w:t>
            </w:r>
          </w:p>
        </w:tc>
        <w:tc>
          <w:tcPr>
            <w:tcW w:w="3084" w:type="dxa"/>
          </w:tcPr>
          <w:p w14:paraId="43ABCD18" w14:textId="4916F475" w:rsidR="005D67BB" w:rsidRDefault="002A271C" w:rsidP="008208C6">
            <w:pPr>
              <w:pStyle w:val="Table-Body-centred"/>
              <w:spacing w:before="144" w:after="144"/>
            </w:pPr>
            <w:r w:rsidRPr="002A271C">
              <w:rPr>
                <w:noProof/>
              </w:rPr>
              <w:drawing>
                <wp:inline distT="0" distB="0" distL="0" distR="0" wp14:anchorId="2F90805C" wp14:editId="0DA87737">
                  <wp:extent cx="1109345" cy="415485"/>
                  <wp:effectExtent l="0" t="0" r="0" b="3810"/>
                  <wp:docPr id="1364956490" name="Picture 2" descr="Signature of Mandy Nevel, Head of Animal Health &amp; Welfa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56490" name="Picture 2" descr="Signature of Mandy Nevel, Head of Animal Health &amp; Welfare&#10;"/>
                          <pic:cNvPicPr>
                            <a:picLocks noChangeAspect="1" noChangeArrowheads="1"/>
                          </pic:cNvPicPr>
                        </pic:nvPicPr>
                        <pic:blipFill rotWithShape="1">
                          <a:blip r:embed="rId12">
                            <a:extLst>
                              <a:ext uri="{28A0092B-C50C-407E-A947-70E740481C1C}">
                                <a14:useLocalDpi xmlns:a14="http://schemas.microsoft.com/office/drawing/2010/main" val="0"/>
                              </a:ext>
                            </a:extLst>
                          </a:blip>
                          <a:srcRect l="13456" r="16095"/>
                          <a:stretch>
                            <a:fillRect/>
                          </a:stretch>
                        </pic:blipFill>
                        <pic:spPr bwMode="auto">
                          <a:xfrm>
                            <a:off x="0" y="0"/>
                            <a:ext cx="1137505" cy="42603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17" w:type="dxa"/>
          </w:tcPr>
          <w:p w14:paraId="30E7F8F9" w14:textId="1BB24270" w:rsidR="005D67BB" w:rsidRPr="00AC4009" w:rsidRDefault="00A32ADA" w:rsidP="008208C6">
            <w:pPr>
              <w:pStyle w:val="Table-Body-centred"/>
              <w:spacing w:before="144" w:after="144"/>
            </w:pPr>
            <w:r>
              <w:t>1 May 2026</w:t>
            </w:r>
          </w:p>
        </w:tc>
      </w:tr>
      <w:tr w:rsidR="005D67BB" w:rsidRPr="00AC4009" w14:paraId="46AA94DC" w14:textId="77777777" w:rsidTr="002A271C">
        <w:trPr>
          <w:trHeight w:val="300"/>
        </w:trPr>
        <w:tc>
          <w:tcPr>
            <w:tcW w:w="1341" w:type="dxa"/>
          </w:tcPr>
          <w:p w14:paraId="1AC21D95" w14:textId="63E4FCB5" w:rsidR="005D67BB" w:rsidRDefault="002A271C" w:rsidP="008208C6">
            <w:pPr>
              <w:pStyle w:val="Table-Body-leftaligned"/>
              <w:rPr>
                <w:bCs/>
              </w:rPr>
            </w:pPr>
            <w:r w:rsidRPr="002A271C">
              <w:rPr>
                <w:bCs/>
              </w:rPr>
              <w:lastRenderedPageBreak/>
              <w:t>Approved by</w:t>
            </w:r>
          </w:p>
        </w:tc>
        <w:tc>
          <w:tcPr>
            <w:tcW w:w="3474" w:type="dxa"/>
            <w:hideMark/>
          </w:tcPr>
          <w:p w14:paraId="29299EE8" w14:textId="77777777" w:rsidR="002A271C" w:rsidRPr="002A271C" w:rsidRDefault="002A271C" w:rsidP="002A271C">
            <w:pPr>
              <w:pStyle w:val="Table-Body-leftaligned"/>
              <w:rPr>
                <w:bCs/>
              </w:rPr>
            </w:pPr>
            <w:r w:rsidRPr="002A271C">
              <w:rPr>
                <w:bCs/>
              </w:rPr>
              <w:t>Mark Haighton</w:t>
            </w:r>
          </w:p>
          <w:p w14:paraId="23F5A1B1" w14:textId="3CC1F2F6" w:rsidR="005D67BB" w:rsidRPr="007D4AFD" w:rsidRDefault="002A271C" w:rsidP="002A271C">
            <w:pPr>
              <w:pStyle w:val="Table-Body-leftaligned"/>
              <w:rPr>
                <w:b/>
                <w:bCs/>
              </w:rPr>
            </w:pPr>
            <w:r w:rsidRPr="002A271C">
              <w:rPr>
                <w:bCs/>
              </w:rPr>
              <w:t>Pork Sector Director</w:t>
            </w:r>
          </w:p>
        </w:tc>
        <w:tc>
          <w:tcPr>
            <w:tcW w:w="3084" w:type="dxa"/>
          </w:tcPr>
          <w:p w14:paraId="2148BE7F" w14:textId="12446F9B" w:rsidR="005D67BB" w:rsidRDefault="002A271C" w:rsidP="008208C6">
            <w:pPr>
              <w:pStyle w:val="Table-Body-centred"/>
              <w:spacing w:before="144" w:after="144"/>
            </w:pPr>
            <w:r w:rsidRPr="002A271C">
              <w:rPr>
                <w:noProof/>
              </w:rPr>
              <w:drawing>
                <wp:inline distT="0" distB="0" distL="0" distR="0" wp14:anchorId="637E8306" wp14:editId="08E93609">
                  <wp:extent cx="1382030" cy="429747"/>
                  <wp:effectExtent l="0" t="0" r="0" b="8890"/>
                  <wp:docPr id="352334533" name="Picture 1" descr="Signature of Mark Haighton, Pork Sector Directo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34533" name="Picture 1" descr="Signature of Mark Haighton, Pork Sector Director&#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936" cy="443711"/>
                          </a:xfrm>
                          <a:prstGeom prst="rect">
                            <a:avLst/>
                          </a:prstGeom>
                          <a:noFill/>
                          <a:ln>
                            <a:noFill/>
                          </a:ln>
                        </pic:spPr>
                      </pic:pic>
                    </a:graphicData>
                  </a:graphic>
                </wp:inline>
              </w:drawing>
            </w:r>
          </w:p>
        </w:tc>
        <w:tc>
          <w:tcPr>
            <w:tcW w:w="1117" w:type="dxa"/>
          </w:tcPr>
          <w:p w14:paraId="7EC0D4A4" w14:textId="20AB80CE" w:rsidR="005D67BB" w:rsidRPr="00AC4009" w:rsidRDefault="00EA050A" w:rsidP="008208C6">
            <w:pPr>
              <w:pStyle w:val="Table-Body-centred"/>
              <w:spacing w:before="144" w:after="144"/>
            </w:pPr>
            <w:r>
              <w:t>13 May 2026</w:t>
            </w:r>
          </w:p>
        </w:tc>
      </w:tr>
    </w:tbl>
    <w:p w14:paraId="28F0ED0D" w14:textId="77777777" w:rsidR="007E3B8E" w:rsidRDefault="007E3B8E" w:rsidP="0064354F">
      <w:pPr>
        <w:pStyle w:val="Heading2"/>
        <w:jc w:val="left"/>
      </w:pPr>
      <w:r w:rsidRPr="007E3B8E">
        <w:t>Total antibiotic usage recorded in eMB</w:t>
      </w:r>
    </w:p>
    <w:p w14:paraId="5C55F3BF" w14:textId="77777777" w:rsidR="00724023" w:rsidRDefault="007E3B8E" w:rsidP="007E3B8E">
      <w:pPr>
        <w:pStyle w:val="Heading3"/>
        <w:jc w:val="left"/>
        <w:rPr>
          <w:rFonts w:ascii="Arial" w:hAnsi="Arial"/>
          <w:color w:val="5F5F5F"/>
          <w:sz w:val="20"/>
        </w:rPr>
      </w:pPr>
      <w:r w:rsidRPr="007E3B8E">
        <w:rPr>
          <w:rFonts w:ascii="Arial" w:hAnsi="Arial"/>
          <w:color w:val="5F5F5F"/>
          <w:sz w:val="20"/>
        </w:rPr>
        <w:t xml:space="preserve">Total antibiotic usage in pigs for 2025 was 77.2 mg/PCU (milligrams per population correction unit). </w:t>
      </w:r>
    </w:p>
    <w:p w14:paraId="0F4AB95E" w14:textId="31B087C9" w:rsidR="007E3B8E" w:rsidRDefault="007E3B8E" w:rsidP="007E3B8E">
      <w:pPr>
        <w:pStyle w:val="Heading3"/>
        <w:jc w:val="left"/>
        <w:rPr>
          <w:rFonts w:ascii="Arial" w:hAnsi="Arial"/>
          <w:color w:val="5F5F5F"/>
          <w:sz w:val="20"/>
        </w:rPr>
      </w:pPr>
      <w:r w:rsidRPr="007E3B8E">
        <w:rPr>
          <w:rFonts w:ascii="Arial" w:hAnsi="Arial"/>
          <w:color w:val="5F5F5F"/>
          <w:sz w:val="20"/>
        </w:rPr>
        <w:t>This is a decrease of 10% from 86.2 mg/PCU in 2024 and represents a 72% reduction in antibiotic use since the 2015 baseline.</w:t>
      </w:r>
    </w:p>
    <w:p w14:paraId="08DC4F03" w14:textId="77777777" w:rsidR="000E462D" w:rsidRDefault="000E462D" w:rsidP="007E3B8E">
      <w:pPr>
        <w:rPr>
          <w:b/>
          <w:bCs/>
        </w:rPr>
      </w:pPr>
    </w:p>
    <w:p w14:paraId="2D1DA8F9" w14:textId="35E0B714" w:rsidR="007E3B8E" w:rsidRDefault="007E3B8E" w:rsidP="007E3B8E">
      <w:pPr>
        <w:rPr>
          <w:b/>
          <w:bCs/>
        </w:rPr>
      </w:pPr>
      <w:r w:rsidRPr="00854E1C">
        <w:rPr>
          <w:b/>
          <w:bCs/>
        </w:rPr>
        <w:t xml:space="preserve">Table </w:t>
      </w:r>
      <w:r w:rsidR="00D31650">
        <w:rPr>
          <w:b/>
          <w:bCs/>
        </w:rPr>
        <w:t>2</w:t>
      </w:r>
      <w:r w:rsidRPr="00854E1C">
        <w:rPr>
          <w:b/>
          <w:bCs/>
        </w:rPr>
        <w:t xml:space="preserve">. </w:t>
      </w:r>
      <w:r w:rsidR="0076458F">
        <w:rPr>
          <w:b/>
          <w:bCs/>
        </w:rPr>
        <w:t>A</w:t>
      </w:r>
      <w:r w:rsidR="005D1C47">
        <w:rPr>
          <w:b/>
          <w:bCs/>
        </w:rPr>
        <w:t xml:space="preserve">nnual </w:t>
      </w:r>
      <w:r w:rsidR="005D1C47" w:rsidRPr="005D1C47">
        <w:rPr>
          <w:b/>
          <w:bCs/>
        </w:rPr>
        <w:t xml:space="preserve">milligrams per population correction unit </w:t>
      </w:r>
      <w:r w:rsidR="005D1C47">
        <w:rPr>
          <w:b/>
          <w:bCs/>
        </w:rPr>
        <w:t>from 2015 to 2025 and the year-on-year percentage change</w:t>
      </w:r>
    </w:p>
    <w:p w14:paraId="7077C4C7" w14:textId="77777777" w:rsidR="000E462D" w:rsidRPr="007E3B8E" w:rsidRDefault="000E462D" w:rsidP="007E3B8E">
      <w:pPr>
        <w:rPr>
          <w:b/>
          <w:bCs/>
        </w:rPr>
      </w:pPr>
    </w:p>
    <w:tbl>
      <w:tblPr>
        <w:tblStyle w:val="TableGrid"/>
        <w:tblW w:w="0" w:type="auto"/>
        <w:jc w:val="center"/>
        <w:tblLayout w:type="fixed"/>
        <w:tblLook w:val="0020" w:firstRow="1" w:lastRow="0" w:firstColumn="0" w:lastColumn="0" w:noHBand="0" w:noVBand="0"/>
      </w:tblPr>
      <w:tblGrid>
        <w:gridCol w:w="1626"/>
        <w:gridCol w:w="1626"/>
        <w:gridCol w:w="1534"/>
      </w:tblGrid>
      <w:tr w:rsidR="007E3B8E" w:rsidRPr="007E3B8E" w14:paraId="644C4ED7" w14:textId="77777777" w:rsidTr="0064354F">
        <w:trPr>
          <w:trHeight w:val="590"/>
          <w:jc w:val="center"/>
        </w:trPr>
        <w:tc>
          <w:tcPr>
            <w:tcW w:w="1626" w:type="dxa"/>
          </w:tcPr>
          <w:p w14:paraId="6D24FCAF" w14:textId="408F8E73" w:rsidR="007E3B8E" w:rsidRPr="007E3B8E" w:rsidRDefault="007B0DEE" w:rsidP="0064354F">
            <w:pPr>
              <w:pStyle w:val="Tableheading"/>
              <w:jc w:val="left"/>
            </w:pPr>
            <w:r>
              <w:t>Year</w:t>
            </w:r>
          </w:p>
        </w:tc>
        <w:tc>
          <w:tcPr>
            <w:tcW w:w="1626" w:type="dxa"/>
          </w:tcPr>
          <w:p w14:paraId="3EFEC04F" w14:textId="34893B7E" w:rsidR="007E3B8E" w:rsidRPr="007E3B8E" w:rsidRDefault="007E3B8E" w:rsidP="007B0DEE">
            <w:pPr>
              <w:pStyle w:val="Tableheading"/>
            </w:pPr>
            <w:r w:rsidRPr="007E3B8E">
              <w:t>mg/PCU</w:t>
            </w:r>
          </w:p>
        </w:tc>
        <w:tc>
          <w:tcPr>
            <w:tcW w:w="1534" w:type="dxa"/>
          </w:tcPr>
          <w:p w14:paraId="4E245E8E" w14:textId="6CCE1969" w:rsidR="007E3B8E" w:rsidRPr="007E3B8E" w:rsidRDefault="007E3B8E" w:rsidP="007B0DEE">
            <w:pPr>
              <w:pStyle w:val="Tableheading"/>
            </w:pPr>
            <w:r w:rsidRPr="007E3B8E">
              <w:t>Year-on-year change</w:t>
            </w:r>
            <w:r w:rsidR="00B10F1C">
              <w:t xml:space="preserve"> (%)</w:t>
            </w:r>
          </w:p>
        </w:tc>
      </w:tr>
      <w:tr w:rsidR="007E3B8E" w:rsidRPr="007E3B8E" w14:paraId="072FA13F" w14:textId="77777777" w:rsidTr="0064354F">
        <w:trPr>
          <w:trHeight w:val="302"/>
          <w:jc w:val="center"/>
        </w:trPr>
        <w:tc>
          <w:tcPr>
            <w:tcW w:w="1626" w:type="dxa"/>
          </w:tcPr>
          <w:p w14:paraId="00CD27B1" w14:textId="2910BAD6" w:rsidR="007E3B8E" w:rsidRPr="007E3B8E" w:rsidRDefault="007E3B8E" w:rsidP="007E3B8E">
            <w:pPr>
              <w:pStyle w:val="Table-Body-leftaligned"/>
              <w:rPr>
                <w:bCs/>
              </w:rPr>
            </w:pPr>
            <w:r w:rsidRPr="007E3B8E">
              <w:rPr>
                <w:bCs/>
              </w:rPr>
              <w:t>2015</w:t>
            </w:r>
          </w:p>
        </w:tc>
        <w:tc>
          <w:tcPr>
            <w:tcW w:w="1626" w:type="dxa"/>
          </w:tcPr>
          <w:p w14:paraId="5978691F" w14:textId="480A8473" w:rsidR="007E3B8E" w:rsidRPr="007E3B8E" w:rsidRDefault="007E3B8E" w:rsidP="0064354F">
            <w:pPr>
              <w:pStyle w:val="Table-Body-leftaligned"/>
              <w:jc w:val="center"/>
              <w:rPr>
                <w:bCs/>
              </w:rPr>
            </w:pPr>
            <w:r w:rsidRPr="007E3B8E">
              <w:rPr>
                <w:bCs/>
              </w:rPr>
              <w:t>277.7</w:t>
            </w:r>
          </w:p>
        </w:tc>
        <w:tc>
          <w:tcPr>
            <w:tcW w:w="1534" w:type="dxa"/>
          </w:tcPr>
          <w:p w14:paraId="7B65B076" w14:textId="1218F092" w:rsidR="007E3B8E" w:rsidRPr="007E3B8E" w:rsidRDefault="007B0DEE" w:rsidP="0064354F">
            <w:pPr>
              <w:pStyle w:val="Table-Body-leftaligned"/>
              <w:jc w:val="center"/>
              <w:rPr>
                <w:bCs/>
              </w:rPr>
            </w:pPr>
            <w:r>
              <w:rPr>
                <w:bCs/>
              </w:rPr>
              <w:t>No data available</w:t>
            </w:r>
          </w:p>
        </w:tc>
      </w:tr>
      <w:tr w:rsidR="007E3B8E" w:rsidRPr="007E3B8E" w14:paraId="1C2149E6" w14:textId="77777777" w:rsidTr="0064354F">
        <w:trPr>
          <w:trHeight w:val="109"/>
          <w:jc w:val="center"/>
        </w:trPr>
        <w:tc>
          <w:tcPr>
            <w:tcW w:w="1626" w:type="dxa"/>
          </w:tcPr>
          <w:p w14:paraId="5D18DD8D" w14:textId="77777777" w:rsidR="007E3B8E" w:rsidRPr="007E3B8E" w:rsidRDefault="007E3B8E" w:rsidP="007E3B8E">
            <w:pPr>
              <w:pStyle w:val="Table-Body-leftaligned"/>
              <w:rPr>
                <w:bCs/>
              </w:rPr>
            </w:pPr>
            <w:r w:rsidRPr="007E3B8E">
              <w:rPr>
                <w:bCs/>
              </w:rPr>
              <w:t xml:space="preserve">2016 </w:t>
            </w:r>
          </w:p>
        </w:tc>
        <w:tc>
          <w:tcPr>
            <w:tcW w:w="1626" w:type="dxa"/>
          </w:tcPr>
          <w:p w14:paraId="1DF852D3" w14:textId="56881694" w:rsidR="007E3B8E" w:rsidRPr="007E3B8E" w:rsidRDefault="007E3B8E" w:rsidP="0064354F">
            <w:pPr>
              <w:pStyle w:val="Table-Body-leftaligned"/>
              <w:jc w:val="center"/>
              <w:rPr>
                <w:bCs/>
              </w:rPr>
            </w:pPr>
            <w:r w:rsidRPr="007E3B8E">
              <w:rPr>
                <w:bCs/>
              </w:rPr>
              <w:t>182.7</w:t>
            </w:r>
          </w:p>
        </w:tc>
        <w:tc>
          <w:tcPr>
            <w:tcW w:w="1534" w:type="dxa"/>
          </w:tcPr>
          <w:p w14:paraId="5A8E3201" w14:textId="4F0067E1" w:rsidR="007E3B8E" w:rsidRPr="007E3B8E" w:rsidRDefault="00EB0BBF" w:rsidP="0064354F">
            <w:pPr>
              <w:pStyle w:val="Table-Body-leftaligned"/>
              <w:jc w:val="center"/>
              <w:rPr>
                <w:bCs/>
              </w:rPr>
            </w:pPr>
            <w:r w:rsidRPr="00EB0BBF">
              <w:rPr>
                <w:bCs/>
              </w:rPr>
              <w:t>−</w:t>
            </w:r>
            <w:r w:rsidR="007E3B8E" w:rsidRPr="007E3B8E">
              <w:rPr>
                <w:bCs/>
              </w:rPr>
              <w:t>34</w:t>
            </w:r>
          </w:p>
        </w:tc>
      </w:tr>
      <w:tr w:rsidR="007E3B8E" w:rsidRPr="007E3B8E" w14:paraId="23A68C3D" w14:textId="77777777" w:rsidTr="0064354F">
        <w:trPr>
          <w:trHeight w:val="109"/>
          <w:jc w:val="center"/>
        </w:trPr>
        <w:tc>
          <w:tcPr>
            <w:tcW w:w="1626" w:type="dxa"/>
          </w:tcPr>
          <w:p w14:paraId="441CC7DC" w14:textId="77777777" w:rsidR="007E3B8E" w:rsidRPr="007E3B8E" w:rsidRDefault="007E3B8E" w:rsidP="007E3B8E">
            <w:pPr>
              <w:pStyle w:val="Table-Body-leftaligned"/>
              <w:rPr>
                <w:bCs/>
              </w:rPr>
            </w:pPr>
            <w:r w:rsidRPr="007E3B8E">
              <w:rPr>
                <w:bCs/>
              </w:rPr>
              <w:t xml:space="preserve">2017 </w:t>
            </w:r>
          </w:p>
        </w:tc>
        <w:tc>
          <w:tcPr>
            <w:tcW w:w="1626" w:type="dxa"/>
          </w:tcPr>
          <w:p w14:paraId="1F2C0B74" w14:textId="7E354F03" w:rsidR="007E3B8E" w:rsidRPr="007E3B8E" w:rsidRDefault="007E3B8E" w:rsidP="0064354F">
            <w:pPr>
              <w:pStyle w:val="Table-Body-leftaligned"/>
              <w:jc w:val="center"/>
              <w:rPr>
                <w:bCs/>
              </w:rPr>
            </w:pPr>
            <w:r w:rsidRPr="007E3B8E">
              <w:rPr>
                <w:bCs/>
              </w:rPr>
              <w:t>130.7</w:t>
            </w:r>
          </w:p>
        </w:tc>
        <w:tc>
          <w:tcPr>
            <w:tcW w:w="1534" w:type="dxa"/>
          </w:tcPr>
          <w:p w14:paraId="77C03462" w14:textId="76D93C63" w:rsidR="007E3B8E" w:rsidRPr="007E3B8E" w:rsidRDefault="00E96EB0" w:rsidP="0064354F">
            <w:pPr>
              <w:pStyle w:val="Table-Body-leftaligned"/>
              <w:jc w:val="center"/>
              <w:rPr>
                <w:bCs/>
              </w:rPr>
            </w:pPr>
            <w:r w:rsidRPr="00EB0BBF">
              <w:rPr>
                <w:bCs/>
              </w:rPr>
              <w:t>−</w:t>
            </w:r>
            <w:r w:rsidR="007E3B8E" w:rsidRPr="007E3B8E">
              <w:rPr>
                <w:bCs/>
              </w:rPr>
              <w:t>28</w:t>
            </w:r>
          </w:p>
        </w:tc>
      </w:tr>
      <w:tr w:rsidR="007E3B8E" w:rsidRPr="007E3B8E" w14:paraId="5AAE8403" w14:textId="77777777" w:rsidTr="0064354F">
        <w:trPr>
          <w:trHeight w:val="109"/>
          <w:jc w:val="center"/>
        </w:trPr>
        <w:tc>
          <w:tcPr>
            <w:tcW w:w="1626" w:type="dxa"/>
          </w:tcPr>
          <w:p w14:paraId="475EC4B8" w14:textId="77777777" w:rsidR="007E3B8E" w:rsidRPr="007E3B8E" w:rsidRDefault="007E3B8E" w:rsidP="007E3B8E">
            <w:pPr>
              <w:pStyle w:val="Table-Body-leftaligned"/>
              <w:rPr>
                <w:bCs/>
              </w:rPr>
            </w:pPr>
            <w:r w:rsidRPr="007E3B8E">
              <w:rPr>
                <w:bCs/>
              </w:rPr>
              <w:t xml:space="preserve">2018 </w:t>
            </w:r>
          </w:p>
        </w:tc>
        <w:tc>
          <w:tcPr>
            <w:tcW w:w="1626" w:type="dxa"/>
          </w:tcPr>
          <w:p w14:paraId="19ADA867" w14:textId="4EB4459A" w:rsidR="007E3B8E" w:rsidRPr="007E3B8E" w:rsidRDefault="007E3B8E" w:rsidP="0064354F">
            <w:pPr>
              <w:pStyle w:val="Table-Body-leftaligned"/>
              <w:jc w:val="center"/>
              <w:rPr>
                <w:bCs/>
              </w:rPr>
            </w:pPr>
            <w:r w:rsidRPr="007E3B8E">
              <w:rPr>
                <w:bCs/>
              </w:rPr>
              <w:t>110.1</w:t>
            </w:r>
          </w:p>
        </w:tc>
        <w:tc>
          <w:tcPr>
            <w:tcW w:w="1534" w:type="dxa"/>
          </w:tcPr>
          <w:p w14:paraId="36223DED" w14:textId="0C5A172A" w:rsidR="007E3B8E" w:rsidRPr="007E3B8E" w:rsidRDefault="00E96EB0" w:rsidP="0064354F">
            <w:pPr>
              <w:pStyle w:val="Table-Body-leftaligned"/>
              <w:jc w:val="center"/>
              <w:rPr>
                <w:bCs/>
              </w:rPr>
            </w:pPr>
            <w:r w:rsidRPr="00EB0BBF">
              <w:rPr>
                <w:bCs/>
              </w:rPr>
              <w:t>−</w:t>
            </w:r>
            <w:r w:rsidR="007E3B8E" w:rsidRPr="007E3B8E">
              <w:rPr>
                <w:bCs/>
              </w:rPr>
              <w:t>16</w:t>
            </w:r>
          </w:p>
        </w:tc>
      </w:tr>
      <w:tr w:rsidR="007E3B8E" w:rsidRPr="007E3B8E" w14:paraId="349FF910" w14:textId="77777777" w:rsidTr="0064354F">
        <w:trPr>
          <w:trHeight w:val="109"/>
          <w:jc w:val="center"/>
        </w:trPr>
        <w:tc>
          <w:tcPr>
            <w:tcW w:w="1626" w:type="dxa"/>
          </w:tcPr>
          <w:p w14:paraId="740B5BE6" w14:textId="77777777" w:rsidR="007E3B8E" w:rsidRPr="007E3B8E" w:rsidRDefault="007E3B8E" w:rsidP="007E3B8E">
            <w:pPr>
              <w:pStyle w:val="Table-Body-leftaligned"/>
              <w:rPr>
                <w:bCs/>
              </w:rPr>
            </w:pPr>
            <w:r w:rsidRPr="007E3B8E">
              <w:rPr>
                <w:bCs/>
              </w:rPr>
              <w:t xml:space="preserve">2019 </w:t>
            </w:r>
          </w:p>
        </w:tc>
        <w:tc>
          <w:tcPr>
            <w:tcW w:w="1626" w:type="dxa"/>
          </w:tcPr>
          <w:p w14:paraId="72D18D93" w14:textId="294E9D4A" w:rsidR="007E3B8E" w:rsidRPr="007E3B8E" w:rsidRDefault="007E3B8E" w:rsidP="0064354F">
            <w:pPr>
              <w:pStyle w:val="Table-Body-leftaligned"/>
              <w:jc w:val="center"/>
              <w:rPr>
                <w:bCs/>
              </w:rPr>
            </w:pPr>
            <w:r w:rsidRPr="007E3B8E">
              <w:rPr>
                <w:bCs/>
              </w:rPr>
              <w:t>110.5</w:t>
            </w:r>
          </w:p>
        </w:tc>
        <w:tc>
          <w:tcPr>
            <w:tcW w:w="1534" w:type="dxa"/>
          </w:tcPr>
          <w:p w14:paraId="6C312687" w14:textId="21C7B2CE" w:rsidR="007E3B8E" w:rsidRPr="007E3B8E" w:rsidRDefault="007E3B8E" w:rsidP="0064354F">
            <w:pPr>
              <w:pStyle w:val="Table-Body-leftaligned"/>
              <w:jc w:val="center"/>
              <w:rPr>
                <w:bCs/>
              </w:rPr>
            </w:pPr>
            <w:r w:rsidRPr="007E3B8E">
              <w:rPr>
                <w:bCs/>
              </w:rPr>
              <w:t>0</w:t>
            </w:r>
          </w:p>
        </w:tc>
      </w:tr>
      <w:tr w:rsidR="007E3B8E" w:rsidRPr="007E3B8E" w14:paraId="15B08C60" w14:textId="77777777" w:rsidTr="0064354F">
        <w:trPr>
          <w:trHeight w:val="109"/>
          <w:jc w:val="center"/>
        </w:trPr>
        <w:tc>
          <w:tcPr>
            <w:tcW w:w="1626" w:type="dxa"/>
          </w:tcPr>
          <w:p w14:paraId="7822A391" w14:textId="77777777" w:rsidR="007E3B8E" w:rsidRPr="007E3B8E" w:rsidRDefault="007E3B8E" w:rsidP="007E3B8E">
            <w:pPr>
              <w:pStyle w:val="Table-Body-leftaligned"/>
              <w:rPr>
                <w:bCs/>
              </w:rPr>
            </w:pPr>
            <w:r w:rsidRPr="007E3B8E">
              <w:rPr>
                <w:bCs/>
              </w:rPr>
              <w:t xml:space="preserve">2020 </w:t>
            </w:r>
          </w:p>
        </w:tc>
        <w:tc>
          <w:tcPr>
            <w:tcW w:w="1626" w:type="dxa"/>
          </w:tcPr>
          <w:p w14:paraId="63E9D9D3" w14:textId="190F230F" w:rsidR="007E3B8E" w:rsidRPr="007E3B8E" w:rsidRDefault="007E3B8E" w:rsidP="0064354F">
            <w:pPr>
              <w:pStyle w:val="Table-Body-leftaligned"/>
              <w:jc w:val="center"/>
              <w:rPr>
                <w:bCs/>
              </w:rPr>
            </w:pPr>
            <w:r w:rsidRPr="007E3B8E">
              <w:rPr>
                <w:bCs/>
              </w:rPr>
              <w:t>105.0</w:t>
            </w:r>
          </w:p>
        </w:tc>
        <w:tc>
          <w:tcPr>
            <w:tcW w:w="1534" w:type="dxa"/>
          </w:tcPr>
          <w:p w14:paraId="1D566013" w14:textId="218E7211" w:rsidR="007E3B8E" w:rsidRPr="007E3B8E" w:rsidRDefault="00E96EB0" w:rsidP="0064354F">
            <w:pPr>
              <w:pStyle w:val="Table-Body-leftaligned"/>
              <w:jc w:val="center"/>
              <w:rPr>
                <w:bCs/>
              </w:rPr>
            </w:pPr>
            <w:r w:rsidRPr="00EB0BBF">
              <w:rPr>
                <w:bCs/>
              </w:rPr>
              <w:t>−</w:t>
            </w:r>
            <w:r w:rsidR="007E3B8E" w:rsidRPr="007E3B8E">
              <w:rPr>
                <w:bCs/>
              </w:rPr>
              <w:t>5</w:t>
            </w:r>
          </w:p>
        </w:tc>
      </w:tr>
      <w:tr w:rsidR="007E3B8E" w:rsidRPr="007E3B8E" w14:paraId="33DF0B74" w14:textId="77777777" w:rsidTr="0064354F">
        <w:trPr>
          <w:trHeight w:val="109"/>
          <w:jc w:val="center"/>
        </w:trPr>
        <w:tc>
          <w:tcPr>
            <w:tcW w:w="1626" w:type="dxa"/>
          </w:tcPr>
          <w:p w14:paraId="3105FFB0" w14:textId="77777777" w:rsidR="007E3B8E" w:rsidRPr="007E3B8E" w:rsidRDefault="007E3B8E" w:rsidP="007E3B8E">
            <w:pPr>
              <w:pStyle w:val="Table-Body-leftaligned"/>
              <w:rPr>
                <w:bCs/>
              </w:rPr>
            </w:pPr>
            <w:r w:rsidRPr="007E3B8E">
              <w:rPr>
                <w:bCs/>
              </w:rPr>
              <w:t xml:space="preserve">2021 </w:t>
            </w:r>
          </w:p>
        </w:tc>
        <w:tc>
          <w:tcPr>
            <w:tcW w:w="1626" w:type="dxa"/>
          </w:tcPr>
          <w:p w14:paraId="4E2EE159" w14:textId="1F746D10" w:rsidR="007E3B8E" w:rsidRPr="007E3B8E" w:rsidRDefault="007E3B8E" w:rsidP="0064354F">
            <w:pPr>
              <w:pStyle w:val="Table-Body-leftaligned"/>
              <w:jc w:val="center"/>
              <w:rPr>
                <w:bCs/>
              </w:rPr>
            </w:pPr>
            <w:r w:rsidRPr="007E3B8E">
              <w:rPr>
                <w:bCs/>
              </w:rPr>
              <w:t>87.4</w:t>
            </w:r>
          </w:p>
        </w:tc>
        <w:tc>
          <w:tcPr>
            <w:tcW w:w="1534" w:type="dxa"/>
          </w:tcPr>
          <w:p w14:paraId="7787E813" w14:textId="4569ED90" w:rsidR="007E3B8E" w:rsidRPr="007E3B8E" w:rsidRDefault="00E96EB0" w:rsidP="0064354F">
            <w:pPr>
              <w:pStyle w:val="Table-Body-leftaligned"/>
              <w:jc w:val="center"/>
              <w:rPr>
                <w:bCs/>
              </w:rPr>
            </w:pPr>
            <w:r w:rsidRPr="00EB0BBF">
              <w:rPr>
                <w:bCs/>
              </w:rPr>
              <w:t>−</w:t>
            </w:r>
            <w:r w:rsidR="007E3B8E" w:rsidRPr="007E3B8E">
              <w:rPr>
                <w:bCs/>
              </w:rPr>
              <w:t>17</w:t>
            </w:r>
          </w:p>
        </w:tc>
      </w:tr>
      <w:tr w:rsidR="007E3B8E" w:rsidRPr="007E3B8E" w14:paraId="03B5B183" w14:textId="77777777" w:rsidTr="0064354F">
        <w:trPr>
          <w:trHeight w:val="109"/>
          <w:jc w:val="center"/>
        </w:trPr>
        <w:tc>
          <w:tcPr>
            <w:tcW w:w="1626" w:type="dxa"/>
          </w:tcPr>
          <w:p w14:paraId="0EC72002" w14:textId="77777777" w:rsidR="007E3B8E" w:rsidRPr="007E3B8E" w:rsidRDefault="007E3B8E" w:rsidP="007E3B8E">
            <w:pPr>
              <w:pStyle w:val="Table-Body-leftaligned"/>
              <w:rPr>
                <w:bCs/>
              </w:rPr>
            </w:pPr>
            <w:r w:rsidRPr="007E3B8E">
              <w:rPr>
                <w:bCs/>
              </w:rPr>
              <w:t xml:space="preserve">2022 </w:t>
            </w:r>
          </w:p>
        </w:tc>
        <w:tc>
          <w:tcPr>
            <w:tcW w:w="1626" w:type="dxa"/>
          </w:tcPr>
          <w:p w14:paraId="0823AF6B" w14:textId="2AA1EAB9" w:rsidR="007E3B8E" w:rsidRPr="007E3B8E" w:rsidRDefault="007E3B8E" w:rsidP="0064354F">
            <w:pPr>
              <w:pStyle w:val="Table-Body-leftaligned"/>
              <w:jc w:val="center"/>
              <w:rPr>
                <w:bCs/>
              </w:rPr>
            </w:pPr>
            <w:r w:rsidRPr="007E3B8E">
              <w:rPr>
                <w:bCs/>
              </w:rPr>
              <w:t>71.8</w:t>
            </w:r>
          </w:p>
        </w:tc>
        <w:tc>
          <w:tcPr>
            <w:tcW w:w="1534" w:type="dxa"/>
          </w:tcPr>
          <w:p w14:paraId="5C0D424F" w14:textId="19603C9A" w:rsidR="007E3B8E" w:rsidRPr="007E3B8E" w:rsidRDefault="00E96EB0" w:rsidP="0064354F">
            <w:pPr>
              <w:pStyle w:val="Table-Body-leftaligned"/>
              <w:jc w:val="center"/>
              <w:rPr>
                <w:bCs/>
              </w:rPr>
            </w:pPr>
            <w:r w:rsidRPr="00EB0BBF">
              <w:rPr>
                <w:bCs/>
              </w:rPr>
              <w:t>−</w:t>
            </w:r>
            <w:r w:rsidR="007E3B8E" w:rsidRPr="007E3B8E">
              <w:rPr>
                <w:bCs/>
              </w:rPr>
              <w:t>18</w:t>
            </w:r>
          </w:p>
        </w:tc>
      </w:tr>
      <w:tr w:rsidR="007E3B8E" w:rsidRPr="007E3B8E" w14:paraId="2DF60C6C" w14:textId="77777777" w:rsidTr="0064354F">
        <w:trPr>
          <w:trHeight w:val="109"/>
          <w:jc w:val="center"/>
        </w:trPr>
        <w:tc>
          <w:tcPr>
            <w:tcW w:w="1626" w:type="dxa"/>
          </w:tcPr>
          <w:p w14:paraId="6C6795C6" w14:textId="77777777" w:rsidR="007E3B8E" w:rsidRPr="007E3B8E" w:rsidRDefault="007E3B8E" w:rsidP="007E3B8E">
            <w:pPr>
              <w:pStyle w:val="Table-Body-leftaligned"/>
              <w:rPr>
                <w:bCs/>
              </w:rPr>
            </w:pPr>
            <w:r w:rsidRPr="007E3B8E">
              <w:rPr>
                <w:bCs/>
              </w:rPr>
              <w:t xml:space="preserve">2023 </w:t>
            </w:r>
          </w:p>
        </w:tc>
        <w:tc>
          <w:tcPr>
            <w:tcW w:w="1626" w:type="dxa"/>
          </w:tcPr>
          <w:p w14:paraId="5CE9CD0E" w14:textId="16F10580" w:rsidR="007E3B8E" w:rsidRPr="007E3B8E" w:rsidRDefault="007E3B8E" w:rsidP="0064354F">
            <w:pPr>
              <w:pStyle w:val="Table-Body-leftaligned"/>
              <w:jc w:val="center"/>
              <w:rPr>
                <w:bCs/>
              </w:rPr>
            </w:pPr>
            <w:r w:rsidRPr="007E3B8E">
              <w:rPr>
                <w:bCs/>
              </w:rPr>
              <w:t>84.8</w:t>
            </w:r>
          </w:p>
        </w:tc>
        <w:tc>
          <w:tcPr>
            <w:tcW w:w="1534" w:type="dxa"/>
          </w:tcPr>
          <w:p w14:paraId="106C834E" w14:textId="5C6928A5" w:rsidR="007E3B8E" w:rsidRPr="007E3B8E" w:rsidRDefault="00E96EB0" w:rsidP="0064354F">
            <w:pPr>
              <w:pStyle w:val="Table-Body-leftaligned"/>
              <w:jc w:val="center"/>
              <w:rPr>
                <w:bCs/>
              </w:rPr>
            </w:pPr>
            <w:r w:rsidRPr="00E96EB0">
              <w:rPr>
                <w:bCs/>
              </w:rPr>
              <w:t>+</w:t>
            </w:r>
            <w:r w:rsidR="007E3B8E" w:rsidRPr="007E3B8E">
              <w:rPr>
                <w:bCs/>
              </w:rPr>
              <w:t>18</w:t>
            </w:r>
          </w:p>
        </w:tc>
      </w:tr>
      <w:tr w:rsidR="007E3B8E" w:rsidRPr="007E3B8E" w14:paraId="75B5764C" w14:textId="77777777" w:rsidTr="0064354F">
        <w:trPr>
          <w:trHeight w:val="109"/>
          <w:jc w:val="center"/>
        </w:trPr>
        <w:tc>
          <w:tcPr>
            <w:tcW w:w="1626" w:type="dxa"/>
          </w:tcPr>
          <w:p w14:paraId="534750D8" w14:textId="77777777" w:rsidR="007E3B8E" w:rsidRPr="007E3B8E" w:rsidRDefault="007E3B8E" w:rsidP="007E3B8E">
            <w:pPr>
              <w:pStyle w:val="Table-Body-leftaligned"/>
              <w:rPr>
                <w:bCs/>
              </w:rPr>
            </w:pPr>
            <w:r w:rsidRPr="007E3B8E">
              <w:rPr>
                <w:bCs/>
              </w:rPr>
              <w:t xml:space="preserve">2024 </w:t>
            </w:r>
          </w:p>
        </w:tc>
        <w:tc>
          <w:tcPr>
            <w:tcW w:w="1626" w:type="dxa"/>
          </w:tcPr>
          <w:p w14:paraId="71F53E7D" w14:textId="622BDAB2" w:rsidR="007E3B8E" w:rsidRPr="007E3B8E" w:rsidRDefault="007E3B8E" w:rsidP="0064354F">
            <w:pPr>
              <w:pStyle w:val="Table-Body-leftaligned"/>
              <w:jc w:val="center"/>
              <w:rPr>
                <w:bCs/>
              </w:rPr>
            </w:pPr>
            <w:r w:rsidRPr="007E3B8E">
              <w:rPr>
                <w:bCs/>
              </w:rPr>
              <w:t>86.2</w:t>
            </w:r>
          </w:p>
        </w:tc>
        <w:tc>
          <w:tcPr>
            <w:tcW w:w="1534" w:type="dxa"/>
          </w:tcPr>
          <w:p w14:paraId="686B4150" w14:textId="071D40DC" w:rsidR="007E3B8E" w:rsidRPr="007E3B8E" w:rsidRDefault="00E96EB0" w:rsidP="0064354F">
            <w:pPr>
              <w:pStyle w:val="Table-Body-leftaligned"/>
              <w:jc w:val="center"/>
              <w:rPr>
                <w:bCs/>
              </w:rPr>
            </w:pPr>
            <w:r w:rsidRPr="00E96EB0">
              <w:rPr>
                <w:bCs/>
              </w:rPr>
              <w:t>+</w:t>
            </w:r>
            <w:r w:rsidR="007E3B8E" w:rsidRPr="007E3B8E">
              <w:rPr>
                <w:bCs/>
              </w:rPr>
              <w:t>1</w:t>
            </w:r>
          </w:p>
        </w:tc>
      </w:tr>
      <w:tr w:rsidR="007E3B8E" w:rsidRPr="007E3B8E" w14:paraId="04219F08" w14:textId="77777777" w:rsidTr="0064354F">
        <w:trPr>
          <w:trHeight w:val="275"/>
          <w:jc w:val="center"/>
        </w:trPr>
        <w:tc>
          <w:tcPr>
            <w:tcW w:w="1626" w:type="dxa"/>
          </w:tcPr>
          <w:p w14:paraId="4D883273" w14:textId="77777777" w:rsidR="007E3B8E" w:rsidRPr="007E3B8E" w:rsidRDefault="007E3B8E" w:rsidP="007E3B8E">
            <w:pPr>
              <w:pStyle w:val="Table-Body-leftaligned"/>
              <w:rPr>
                <w:bCs/>
              </w:rPr>
            </w:pPr>
            <w:r w:rsidRPr="007E3B8E">
              <w:rPr>
                <w:bCs/>
              </w:rPr>
              <w:t xml:space="preserve">2025 </w:t>
            </w:r>
          </w:p>
        </w:tc>
        <w:tc>
          <w:tcPr>
            <w:tcW w:w="1626" w:type="dxa"/>
          </w:tcPr>
          <w:p w14:paraId="7D0454E5" w14:textId="7207AFCA" w:rsidR="007E3B8E" w:rsidRPr="007E3B8E" w:rsidRDefault="007E3B8E" w:rsidP="0064354F">
            <w:pPr>
              <w:pStyle w:val="Table-Body-leftaligned"/>
              <w:jc w:val="center"/>
              <w:rPr>
                <w:bCs/>
              </w:rPr>
            </w:pPr>
            <w:r w:rsidRPr="007E3B8E">
              <w:rPr>
                <w:bCs/>
              </w:rPr>
              <w:t>77.2</w:t>
            </w:r>
          </w:p>
        </w:tc>
        <w:tc>
          <w:tcPr>
            <w:tcW w:w="1534" w:type="dxa"/>
          </w:tcPr>
          <w:p w14:paraId="2A39BD58" w14:textId="05FF8B33" w:rsidR="007E3B8E" w:rsidRPr="007E3B8E" w:rsidRDefault="00E96EB0" w:rsidP="0064354F">
            <w:pPr>
              <w:pStyle w:val="Table-Body-leftaligned"/>
              <w:jc w:val="center"/>
              <w:rPr>
                <w:bCs/>
              </w:rPr>
            </w:pPr>
            <w:r w:rsidRPr="00EB0BBF">
              <w:rPr>
                <w:bCs/>
              </w:rPr>
              <w:t>−</w:t>
            </w:r>
            <w:r w:rsidR="007E3B8E" w:rsidRPr="007E3B8E">
              <w:rPr>
                <w:bCs/>
              </w:rPr>
              <w:t>10</w:t>
            </w:r>
          </w:p>
        </w:tc>
      </w:tr>
    </w:tbl>
    <w:p w14:paraId="150DEE29" w14:textId="77777777" w:rsidR="00E96EB0" w:rsidRDefault="00E96EB0" w:rsidP="00EB4794">
      <w:pPr>
        <w:pStyle w:val="Heading3"/>
        <w:jc w:val="left"/>
        <w:rPr>
          <w:rFonts w:ascii="Arial" w:hAnsi="Arial"/>
          <w:b/>
          <w:bCs/>
          <w:color w:val="5F5F5F"/>
          <w:sz w:val="20"/>
        </w:rPr>
      </w:pPr>
    </w:p>
    <w:p w14:paraId="2301FDA6" w14:textId="77777777" w:rsidR="00E96EB0" w:rsidRDefault="00E96EB0" w:rsidP="00EB4794">
      <w:pPr>
        <w:pStyle w:val="Heading3"/>
        <w:jc w:val="left"/>
        <w:rPr>
          <w:rFonts w:ascii="Arial" w:hAnsi="Arial"/>
          <w:b/>
          <w:bCs/>
          <w:color w:val="5F5F5F"/>
          <w:sz w:val="20"/>
        </w:rPr>
      </w:pPr>
    </w:p>
    <w:p w14:paraId="42D957E1" w14:textId="77777777" w:rsidR="00E96EB0" w:rsidRDefault="00E96EB0" w:rsidP="00EB4794">
      <w:pPr>
        <w:pStyle w:val="Heading3"/>
        <w:jc w:val="left"/>
        <w:rPr>
          <w:rFonts w:ascii="Arial" w:hAnsi="Arial"/>
          <w:b/>
          <w:bCs/>
          <w:color w:val="5F5F5F"/>
          <w:sz w:val="20"/>
        </w:rPr>
      </w:pPr>
    </w:p>
    <w:p w14:paraId="410C2913" w14:textId="77777777" w:rsidR="00E96EB0" w:rsidRDefault="00E96EB0" w:rsidP="00EB4794">
      <w:pPr>
        <w:pStyle w:val="Heading3"/>
        <w:jc w:val="left"/>
        <w:rPr>
          <w:rFonts w:ascii="Arial" w:hAnsi="Arial"/>
          <w:b/>
          <w:bCs/>
          <w:color w:val="5F5F5F"/>
          <w:sz w:val="20"/>
        </w:rPr>
      </w:pPr>
    </w:p>
    <w:p w14:paraId="524E48F6" w14:textId="270D3738" w:rsidR="00EB4794" w:rsidRDefault="005D1C47" w:rsidP="00EB4794">
      <w:pPr>
        <w:pStyle w:val="Heading3"/>
        <w:jc w:val="left"/>
        <w:rPr>
          <w:iCs/>
          <w:sz w:val="40"/>
          <w:szCs w:val="36"/>
        </w:rPr>
      </w:pPr>
      <w:r w:rsidRPr="005D1C47">
        <w:rPr>
          <w:rFonts w:ascii="Arial" w:hAnsi="Arial"/>
          <w:b/>
          <w:bCs/>
          <w:color w:val="5F5F5F"/>
          <w:sz w:val="20"/>
        </w:rPr>
        <w:lastRenderedPageBreak/>
        <w:t xml:space="preserve">Figure 1. </w:t>
      </w:r>
      <w:r>
        <w:rPr>
          <w:rFonts w:ascii="Arial" w:hAnsi="Arial"/>
          <w:b/>
          <w:bCs/>
          <w:color w:val="5F5F5F"/>
          <w:sz w:val="20"/>
        </w:rPr>
        <w:t xml:space="preserve">Bar chart </w:t>
      </w:r>
      <w:r w:rsidR="003B64B8">
        <w:rPr>
          <w:rFonts w:ascii="Arial" w:hAnsi="Arial"/>
          <w:b/>
          <w:bCs/>
          <w:color w:val="5F5F5F"/>
          <w:sz w:val="20"/>
        </w:rPr>
        <w:t xml:space="preserve">of </w:t>
      </w:r>
      <w:r>
        <w:rPr>
          <w:rFonts w:ascii="Arial" w:hAnsi="Arial"/>
          <w:b/>
          <w:bCs/>
          <w:color w:val="5F5F5F"/>
          <w:sz w:val="20"/>
        </w:rPr>
        <w:t>total antibiotic use</w:t>
      </w:r>
      <w:r w:rsidR="003B64B8">
        <w:rPr>
          <w:rFonts w:ascii="Arial" w:hAnsi="Arial"/>
          <w:b/>
          <w:bCs/>
          <w:color w:val="5F5F5F"/>
          <w:sz w:val="20"/>
        </w:rPr>
        <w:t xml:space="preserve"> recorded</w:t>
      </w:r>
      <w:r>
        <w:rPr>
          <w:rFonts w:ascii="Arial" w:hAnsi="Arial"/>
          <w:b/>
          <w:bCs/>
          <w:color w:val="5F5F5F"/>
          <w:sz w:val="20"/>
        </w:rPr>
        <w:t xml:space="preserve"> in eMB with</w:t>
      </w:r>
      <w:r w:rsidR="00EB4794">
        <w:rPr>
          <w:rFonts w:ascii="Arial" w:hAnsi="Arial"/>
          <w:b/>
          <w:bCs/>
          <w:color w:val="5F5F5F"/>
          <w:sz w:val="20"/>
        </w:rPr>
        <w:t xml:space="preserve"> </w:t>
      </w:r>
      <w:r w:rsidR="00520B71">
        <w:rPr>
          <w:rFonts w:ascii="Arial" w:hAnsi="Arial"/>
          <w:b/>
          <w:bCs/>
          <w:color w:val="5F5F5F"/>
          <w:sz w:val="20"/>
        </w:rPr>
        <w:t>annual target</w:t>
      </w:r>
      <w:r>
        <w:rPr>
          <w:rFonts w:ascii="Arial" w:hAnsi="Arial"/>
          <w:b/>
          <w:bCs/>
          <w:color w:val="5F5F5F"/>
          <w:sz w:val="20"/>
        </w:rPr>
        <w:t xml:space="preserve"> line </w:t>
      </w:r>
      <w:r w:rsidR="005C34BB">
        <w:rPr>
          <w:rFonts w:ascii="Arial" w:hAnsi="Arial"/>
          <w:b/>
          <w:bCs/>
          <w:color w:val="5F5F5F"/>
          <w:sz w:val="20"/>
        </w:rPr>
        <w:t>2015–</w:t>
      </w:r>
      <w:r w:rsidR="008A0B15">
        <w:rPr>
          <w:rFonts w:ascii="Arial" w:hAnsi="Arial"/>
          <w:b/>
          <w:bCs/>
          <w:color w:val="5F5F5F"/>
          <w:sz w:val="20"/>
        </w:rPr>
        <w:t>202</w:t>
      </w:r>
      <w:r w:rsidR="00ED093E">
        <w:rPr>
          <w:rFonts w:ascii="Arial" w:hAnsi="Arial"/>
          <w:b/>
          <w:bCs/>
          <w:color w:val="5F5F5F"/>
          <w:sz w:val="20"/>
        </w:rPr>
        <w:t>8</w:t>
      </w:r>
      <w:r w:rsidR="008A0B15">
        <w:rPr>
          <w:rFonts w:ascii="Arial" w:hAnsi="Arial"/>
          <w:b/>
          <w:bCs/>
          <w:color w:val="5F5F5F"/>
          <w:sz w:val="20"/>
        </w:rPr>
        <w:t xml:space="preserve"> (mg/PCU)</w:t>
      </w:r>
      <w:r>
        <w:rPr>
          <w:iCs/>
          <w:sz w:val="40"/>
          <w:szCs w:val="36"/>
        </w:rPr>
        <w:br/>
      </w:r>
      <w:r>
        <w:rPr>
          <w:iCs/>
          <w:sz w:val="40"/>
          <w:szCs w:val="36"/>
        </w:rPr>
        <w:br/>
      </w:r>
      <w:r w:rsidR="007E3B8E" w:rsidRPr="007E3B8E">
        <w:rPr>
          <w:iCs/>
          <w:noProof/>
          <w:sz w:val="40"/>
          <w:szCs w:val="36"/>
        </w:rPr>
        <w:drawing>
          <wp:inline distT="0" distB="0" distL="0" distR="0" wp14:anchorId="3241EA4F" wp14:editId="750697B2">
            <wp:extent cx="5009581" cy="4134331"/>
            <wp:effectExtent l="0" t="0" r="635" b="0"/>
            <wp:docPr id="973258148" name="Picture 1" descr="Bar chart showing total antibiotic use in pigs recorded in eMB from 2015 to 2028, measured in mg/PCU. Blue bars represent actual usage steadily declining, while an orange line indicates the annual target decreasing from 260 mg/PCU in 2015 to about 70 mg/PCU by 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58148" name="Picture 1" descr="Bar chart showing total antibiotic use in pigs recorded in eMB from 2015 to 2028, measured in mg/PCU. Blue bars represent actual usage steadily declining, while an orange line indicates the annual target decreasing from 260 mg/PCU in 2015 to about 70 mg/PCU by 2028."/>
                    <pic:cNvPicPr/>
                  </pic:nvPicPr>
                  <pic:blipFill rotWithShape="1">
                    <a:blip r:embed="rId14"/>
                    <a:srcRect t="5326"/>
                    <a:stretch>
                      <a:fillRect/>
                    </a:stretch>
                  </pic:blipFill>
                  <pic:spPr bwMode="auto">
                    <a:xfrm>
                      <a:off x="0" y="0"/>
                      <a:ext cx="5033696" cy="4154233"/>
                    </a:xfrm>
                    <a:prstGeom prst="rect">
                      <a:avLst/>
                    </a:prstGeom>
                    <a:ln>
                      <a:noFill/>
                    </a:ln>
                    <a:extLst>
                      <a:ext uri="{53640926-AAD7-44D8-BBD7-CCE9431645EC}">
                        <a14:shadowObscured xmlns:a14="http://schemas.microsoft.com/office/drawing/2010/main"/>
                      </a:ext>
                    </a:extLst>
                  </pic:spPr>
                </pic:pic>
              </a:graphicData>
            </a:graphic>
          </wp:inline>
        </w:drawing>
      </w:r>
    </w:p>
    <w:p w14:paraId="4538D56D" w14:textId="515B4002" w:rsidR="008716F7" w:rsidRPr="0064354F" w:rsidRDefault="008716F7" w:rsidP="00EB4794">
      <w:pPr>
        <w:pStyle w:val="Heading3"/>
        <w:jc w:val="left"/>
        <w:rPr>
          <w:rFonts w:ascii="Arial" w:hAnsi="Arial"/>
          <w:color w:val="5F5F5F"/>
          <w:sz w:val="20"/>
        </w:rPr>
      </w:pPr>
      <w:r w:rsidRPr="0064354F">
        <w:rPr>
          <w:rFonts w:ascii="Arial" w:hAnsi="Arial"/>
          <w:color w:val="5F5F5F"/>
          <w:sz w:val="20"/>
        </w:rPr>
        <w:t>Source: eMB, AHDB</w:t>
      </w:r>
    </w:p>
    <w:p w14:paraId="7094424F" w14:textId="5134987B" w:rsidR="00EB4794" w:rsidRDefault="00EB4794" w:rsidP="0064354F">
      <w:pPr>
        <w:pStyle w:val="Heading2"/>
        <w:jc w:val="left"/>
      </w:pPr>
      <w:r w:rsidRPr="00EB4794">
        <w:t xml:space="preserve">Highest </w:t>
      </w:r>
      <w:r w:rsidR="00ED093E">
        <w:t>p</w:t>
      </w:r>
      <w:r w:rsidRPr="00EB4794">
        <w:t xml:space="preserve">riority </w:t>
      </w:r>
      <w:r w:rsidR="00ED093E">
        <w:t>c</w:t>
      </w:r>
      <w:r w:rsidRPr="00EB4794">
        <w:t xml:space="preserve">ritically </w:t>
      </w:r>
      <w:r w:rsidR="00ED093E">
        <w:t>i</w:t>
      </w:r>
      <w:r w:rsidRPr="00EB4794">
        <w:t xml:space="preserve">mportant </w:t>
      </w:r>
      <w:r w:rsidR="00ED093E">
        <w:t>a</w:t>
      </w:r>
      <w:r w:rsidRPr="00EB4794">
        <w:t>ntibiotic (HP-CIA) usage recorded in eMB</w:t>
      </w:r>
    </w:p>
    <w:p w14:paraId="732D6388" w14:textId="5517D30C" w:rsidR="00EB4794" w:rsidRPr="00EB4794" w:rsidRDefault="00EB4794" w:rsidP="0064354F">
      <w:pPr>
        <w:pStyle w:val="Heading3"/>
        <w:jc w:val="left"/>
        <w:rPr>
          <w:rFonts w:ascii="Arial" w:hAnsi="Arial"/>
          <w:color w:val="5F5F5F"/>
          <w:sz w:val="20"/>
        </w:rPr>
      </w:pPr>
      <w:r w:rsidRPr="00EB4794">
        <w:rPr>
          <w:rFonts w:ascii="Arial" w:hAnsi="Arial"/>
          <w:color w:val="5F5F5F"/>
          <w:sz w:val="20"/>
        </w:rPr>
        <w:t xml:space="preserve">Use of highest priority critically important antibiotics </w:t>
      </w:r>
      <w:r w:rsidR="005D0F5C">
        <w:rPr>
          <w:rFonts w:ascii="Arial" w:hAnsi="Arial"/>
          <w:color w:val="5F5F5F"/>
          <w:sz w:val="20"/>
        </w:rPr>
        <w:t>(</w:t>
      </w:r>
      <w:r w:rsidR="005D0F5C" w:rsidRPr="005D0F5C">
        <w:rPr>
          <w:rFonts w:ascii="Arial" w:hAnsi="Arial"/>
          <w:color w:val="5F5F5F"/>
          <w:sz w:val="20"/>
        </w:rPr>
        <w:t>HP-CIA</w:t>
      </w:r>
      <w:r w:rsidR="007C6A0D">
        <w:rPr>
          <w:rFonts w:ascii="Arial" w:hAnsi="Arial"/>
          <w:color w:val="5F5F5F"/>
          <w:sz w:val="20"/>
        </w:rPr>
        <w:t>s</w:t>
      </w:r>
      <w:r w:rsidR="005D0F5C">
        <w:rPr>
          <w:rFonts w:ascii="Arial" w:hAnsi="Arial"/>
          <w:color w:val="5F5F5F"/>
          <w:sz w:val="20"/>
        </w:rPr>
        <w:t xml:space="preserve">) </w:t>
      </w:r>
      <w:r w:rsidRPr="00EB4794">
        <w:rPr>
          <w:rFonts w:ascii="Arial" w:hAnsi="Arial"/>
          <w:color w:val="5F5F5F"/>
          <w:sz w:val="20"/>
        </w:rPr>
        <w:t xml:space="preserve">remains at a very low level; a slight increase from 0.009 mg/PCU to 0.012 mg/PCU has been recorded in 2025. No </w:t>
      </w:r>
      <w:r w:rsidR="00263EB3">
        <w:rPr>
          <w:rFonts w:ascii="Arial" w:hAnsi="Arial"/>
          <w:color w:val="5F5F5F"/>
          <w:sz w:val="20"/>
        </w:rPr>
        <w:t>c</w:t>
      </w:r>
      <w:r w:rsidRPr="00EB4794">
        <w:rPr>
          <w:rFonts w:ascii="Arial" w:hAnsi="Arial"/>
          <w:color w:val="5F5F5F"/>
          <w:sz w:val="20"/>
        </w:rPr>
        <w:t>olistin use has been reported in pigs in 2025.</w:t>
      </w:r>
    </w:p>
    <w:p w14:paraId="004BA1AA" w14:textId="32361BEB" w:rsidR="00EB4794" w:rsidRDefault="00EB4794" w:rsidP="005D0F5C">
      <w:pPr>
        <w:pStyle w:val="Heading3"/>
        <w:jc w:val="left"/>
        <w:rPr>
          <w:rFonts w:ascii="Arial" w:hAnsi="Arial"/>
          <w:color w:val="5F5F5F"/>
          <w:sz w:val="20"/>
        </w:rPr>
      </w:pPr>
      <w:r w:rsidRPr="00EB4794">
        <w:rPr>
          <w:rFonts w:ascii="Arial" w:hAnsi="Arial"/>
          <w:color w:val="5F5F5F"/>
          <w:sz w:val="20"/>
        </w:rPr>
        <w:t xml:space="preserve">The HP-CIAs include </w:t>
      </w:r>
      <w:r w:rsidR="00263EB3">
        <w:rPr>
          <w:rFonts w:ascii="Arial" w:hAnsi="Arial"/>
          <w:color w:val="5F5F5F"/>
          <w:sz w:val="20"/>
        </w:rPr>
        <w:t>c</w:t>
      </w:r>
      <w:r w:rsidRPr="00EB4794">
        <w:rPr>
          <w:rFonts w:ascii="Arial" w:hAnsi="Arial"/>
          <w:color w:val="5F5F5F"/>
          <w:sz w:val="20"/>
        </w:rPr>
        <w:t>olistin, third</w:t>
      </w:r>
      <w:r w:rsidR="00263EB3">
        <w:rPr>
          <w:rFonts w:ascii="Arial" w:hAnsi="Arial"/>
          <w:color w:val="5F5F5F"/>
          <w:sz w:val="20"/>
        </w:rPr>
        <w:t>-</w:t>
      </w:r>
      <w:r w:rsidRPr="00EB4794">
        <w:rPr>
          <w:rFonts w:ascii="Arial" w:hAnsi="Arial"/>
          <w:color w:val="5F5F5F"/>
          <w:sz w:val="20"/>
        </w:rPr>
        <w:t xml:space="preserve"> and fourth</w:t>
      </w:r>
      <w:r w:rsidR="00263EB3">
        <w:rPr>
          <w:rFonts w:ascii="Arial" w:hAnsi="Arial"/>
          <w:color w:val="5F5F5F"/>
          <w:sz w:val="20"/>
        </w:rPr>
        <w:t>-</w:t>
      </w:r>
      <w:r w:rsidRPr="00EB4794">
        <w:rPr>
          <w:rFonts w:ascii="Arial" w:hAnsi="Arial"/>
          <w:color w:val="5F5F5F"/>
          <w:sz w:val="20"/>
        </w:rPr>
        <w:t xml:space="preserve">generation </w:t>
      </w:r>
      <w:r w:rsidR="00263EB3">
        <w:rPr>
          <w:rFonts w:ascii="Arial" w:hAnsi="Arial"/>
          <w:color w:val="5F5F5F"/>
          <w:sz w:val="20"/>
        </w:rPr>
        <w:t>c</w:t>
      </w:r>
      <w:r w:rsidRPr="00EB4794">
        <w:rPr>
          <w:rFonts w:ascii="Arial" w:hAnsi="Arial"/>
          <w:color w:val="5F5F5F"/>
          <w:sz w:val="20"/>
        </w:rPr>
        <w:t xml:space="preserve">ephalosporins and </w:t>
      </w:r>
      <w:r w:rsidR="00263EB3">
        <w:rPr>
          <w:rFonts w:ascii="Arial" w:hAnsi="Arial"/>
          <w:color w:val="5F5F5F"/>
          <w:sz w:val="20"/>
        </w:rPr>
        <w:t>f</w:t>
      </w:r>
      <w:r w:rsidRPr="00EB4794">
        <w:rPr>
          <w:rFonts w:ascii="Arial" w:hAnsi="Arial"/>
          <w:color w:val="5F5F5F"/>
          <w:sz w:val="20"/>
        </w:rPr>
        <w:t>luoroquinolones, as defined by the World Health Organi</w:t>
      </w:r>
      <w:r w:rsidR="00263EB3">
        <w:rPr>
          <w:rFonts w:ascii="Arial" w:hAnsi="Arial"/>
          <w:color w:val="5F5F5F"/>
          <w:sz w:val="20"/>
        </w:rPr>
        <w:t>z</w:t>
      </w:r>
      <w:r w:rsidRPr="00EB4794">
        <w:rPr>
          <w:rFonts w:ascii="Arial" w:hAnsi="Arial"/>
          <w:color w:val="5F5F5F"/>
          <w:sz w:val="20"/>
        </w:rPr>
        <w:t>ation</w:t>
      </w:r>
      <w:r w:rsidR="00724023">
        <w:rPr>
          <w:rFonts w:ascii="Arial" w:hAnsi="Arial"/>
          <w:color w:val="5F5F5F"/>
          <w:sz w:val="20"/>
        </w:rPr>
        <w:t xml:space="preserve"> (WHO)</w:t>
      </w:r>
      <w:r w:rsidRPr="00EB4794">
        <w:rPr>
          <w:rFonts w:ascii="Arial" w:hAnsi="Arial"/>
          <w:color w:val="5F5F5F"/>
          <w:sz w:val="20"/>
        </w:rPr>
        <w:t xml:space="preserve"> and aligns to the European Medicines Agency Category B (‘restrict’).</w:t>
      </w:r>
    </w:p>
    <w:p w14:paraId="49CCF386" w14:textId="77777777" w:rsidR="00D64991" w:rsidRDefault="00D64991" w:rsidP="005D0F5C">
      <w:pPr>
        <w:pStyle w:val="Heading3"/>
        <w:jc w:val="left"/>
        <w:rPr>
          <w:rFonts w:ascii="Arial" w:hAnsi="Arial"/>
          <w:color w:val="5F5F5F"/>
          <w:sz w:val="20"/>
        </w:rPr>
      </w:pPr>
    </w:p>
    <w:p w14:paraId="283909E9" w14:textId="77777777" w:rsidR="00D64991" w:rsidRDefault="00D64991" w:rsidP="005D0F5C">
      <w:pPr>
        <w:pStyle w:val="Heading3"/>
        <w:jc w:val="left"/>
        <w:rPr>
          <w:rFonts w:ascii="Arial" w:hAnsi="Arial"/>
          <w:color w:val="5F5F5F"/>
          <w:sz w:val="20"/>
        </w:rPr>
      </w:pPr>
    </w:p>
    <w:p w14:paraId="134F4C17" w14:textId="77777777" w:rsidR="00D64991" w:rsidRDefault="00D64991" w:rsidP="005D0F5C">
      <w:pPr>
        <w:pStyle w:val="Heading3"/>
        <w:jc w:val="left"/>
        <w:rPr>
          <w:rFonts w:ascii="Arial" w:hAnsi="Arial"/>
          <w:color w:val="5F5F5F"/>
          <w:sz w:val="20"/>
        </w:rPr>
      </w:pPr>
    </w:p>
    <w:p w14:paraId="59FA2933" w14:textId="60D9D69E" w:rsidR="009226ED" w:rsidRDefault="009226ED" w:rsidP="0064354F">
      <w:pPr>
        <w:rPr>
          <w:b/>
          <w:bCs/>
        </w:rPr>
      </w:pPr>
      <w:r w:rsidRPr="00854E1C">
        <w:rPr>
          <w:b/>
          <w:bCs/>
        </w:rPr>
        <w:lastRenderedPageBreak/>
        <w:t xml:space="preserve">Table </w:t>
      </w:r>
      <w:r w:rsidR="00D31650">
        <w:rPr>
          <w:b/>
          <w:bCs/>
        </w:rPr>
        <w:t>3</w:t>
      </w:r>
      <w:r w:rsidRPr="00854E1C">
        <w:rPr>
          <w:b/>
          <w:bCs/>
        </w:rPr>
        <w:t xml:space="preserve">. </w:t>
      </w:r>
      <w:r w:rsidR="00C97170">
        <w:rPr>
          <w:b/>
          <w:bCs/>
        </w:rPr>
        <w:t>A</w:t>
      </w:r>
      <w:r>
        <w:rPr>
          <w:b/>
          <w:bCs/>
        </w:rPr>
        <w:t xml:space="preserve">nnual </w:t>
      </w:r>
      <w:r w:rsidR="001757DD">
        <w:rPr>
          <w:b/>
          <w:bCs/>
        </w:rPr>
        <w:t>usage</w:t>
      </w:r>
      <w:r w:rsidR="00617A9F">
        <w:rPr>
          <w:b/>
          <w:bCs/>
        </w:rPr>
        <w:t xml:space="preserve"> of </w:t>
      </w:r>
      <w:r w:rsidR="007C6A0D" w:rsidRPr="007C6A0D">
        <w:rPr>
          <w:b/>
          <w:bCs/>
        </w:rPr>
        <w:t>HP-CIA</w:t>
      </w:r>
      <w:r w:rsidR="007C6A0D">
        <w:rPr>
          <w:b/>
          <w:bCs/>
        </w:rPr>
        <w:t>s</w:t>
      </w:r>
      <w:r w:rsidR="007C6A0D" w:rsidRPr="007C6A0D" w:rsidDel="007C6A0D">
        <w:rPr>
          <w:b/>
          <w:bCs/>
        </w:rPr>
        <w:t xml:space="preserve"> </w:t>
      </w:r>
      <w:r>
        <w:rPr>
          <w:b/>
          <w:bCs/>
        </w:rPr>
        <w:t xml:space="preserve">from 2015 to 2025 and the </w:t>
      </w:r>
      <w:r w:rsidR="00617A9F">
        <w:rPr>
          <w:b/>
          <w:bCs/>
        </w:rPr>
        <w:t xml:space="preserve">amount of </w:t>
      </w:r>
      <w:r w:rsidR="00263EB3">
        <w:rPr>
          <w:b/>
          <w:bCs/>
        </w:rPr>
        <w:t>c</w:t>
      </w:r>
      <w:r w:rsidR="00617A9F">
        <w:rPr>
          <w:b/>
          <w:bCs/>
        </w:rPr>
        <w:t xml:space="preserve">olistin in </w:t>
      </w:r>
      <w:r w:rsidR="00617A9F" w:rsidRPr="005D1C47">
        <w:rPr>
          <w:b/>
          <w:bCs/>
        </w:rPr>
        <w:t>milligrams per population correction unit</w:t>
      </w:r>
    </w:p>
    <w:p w14:paraId="376A7DE8" w14:textId="77777777" w:rsidR="000E462D" w:rsidRDefault="000E462D" w:rsidP="0064354F"/>
    <w:tbl>
      <w:tblPr>
        <w:tblStyle w:val="TableGrid"/>
        <w:tblW w:w="0" w:type="auto"/>
        <w:jc w:val="center"/>
        <w:tblLayout w:type="fixed"/>
        <w:tblLook w:val="0020" w:firstRow="1" w:lastRow="0" w:firstColumn="0" w:lastColumn="0" w:noHBand="0" w:noVBand="0"/>
      </w:tblPr>
      <w:tblGrid>
        <w:gridCol w:w="1626"/>
        <w:gridCol w:w="1626"/>
        <w:gridCol w:w="1534"/>
      </w:tblGrid>
      <w:tr w:rsidR="009F0F8E" w:rsidRPr="007E3B8E" w14:paraId="6A836955" w14:textId="77777777" w:rsidTr="0064354F">
        <w:trPr>
          <w:trHeight w:val="109"/>
          <w:jc w:val="center"/>
        </w:trPr>
        <w:tc>
          <w:tcPr>
            <w:tcW w:w="1626" w:type="dxa"/>
          </w:tcPr>
          <w:p w14:paraId="1D4FA096" w14:textId="258E137A" w:rsidR="009F0F8E" w:rsidRPr="007E3B8E" w:rsidRDefault="007C6A0D" w:rsidP="0064354F">
            <w:pPr>
              <w:pStyle w:val="Tableheading"/>
              <w:jc w:val="left"/>
            </w:pPr>
            <w:r>
              <w:t>Year</w:t>
            </w:r>
          </w:p>
        </w:tc>
        <w:tc>
          <w:tcPr>
            <w:tcW w:w="1626" w:type="dxa"/>
          </w:tcPr>
          <w:p w14:paraId="12D05F48" w14:textId="0A1987C5" w:rsidR="009F0F8E" w:rsidRPr="007E3B8E" w:rsidRDefault="006475C2" w:rsidP="007C6A0D">
            <w:pPr>
              <w:pStyle w:val="Tableheading"/>
            </w:pPr>
            <w:r w:rsidRPr="006475C2">
              <w:t>HP-CIAs (mg/PCU)</w:t>
            </w:r>
          </w:p>
        </w:tc>
        <w:tc>
          <w:tcPr>
            <w:tcW w:w="1534" w:type="dxa"/>
          </w:tcPr>
          <w:p w14:paraId="5EE3F6E4" w14:textId="1E915197" w:rsidR="009F0F8E" w:rsidRPr="007E3B8E" w:rsidRDefault="00462AEE" w:rsidP="007C6A0D">
            <w:pPr>
              <w:pStyle w:val="Tableheading"/>
            </w:pPr>
            <w:r w:rsidRPr="00462AEE">
              <w:t>Colistin (mg/PCU)</w:t>
            </w:r>
          </w:p>
        </w:tc>
      </w:tr>
      <w:tr w:rsidR="007C68E1" w:rsidRPr="007E3B8E" w14:paraId="73158924" w14:textId="77777777" w:rsidTr="0064354F">
        <w:trPr>
          <w:trHeight w:val="109"/>
          <w:jc w:val="center"/>
        </w:trPr>
        <w:tc>
          <w:tcPr>
            <w:tcW w:w="1626" w:type="dxa"/>
          </w:tcPr>
          <w:p w14:paraId="4E6CE048" w14:textId="77777777" w:rsidR="007C68E1" w:rsidRPr="007E3B8E" w:rsidRDefault="007C68E1" w:rsidP="007C68E1">
            <w:pPr>
              <w:pStyle w:val="Table-Body-leftaligned"/>
              <w:rPr>
                <w:bCs/>
              </w:rPr>
            </w:pPr>
            <w:r w:rsidRPr="007E3B8E">
              <w:rPr>
                <w:bCs/>
              </w:rPr>
              <w:t>2015</w:t>
            </w:r>
          </w:p>
        </w:tc>
        <w:tc>
          <w:tcPr>
            <w:tcW w:w="1626" w:type="dxa"/>
          </w:tcPr>
          <w:p w14:paraId="41E51468" w14:textId="70AA46F8" w:rsidR="007C68E1" w:rsidRPr="007E3B8E" w:rsidRDefault="007C68E1" w:rsidP="0064354F">
            <w:pPr>
              <w:pStyle w:val="Table-Body-leftaligned"/>
              <w:jc w:val="center"/>
              <w:rPr>
                <w:bCs/>
              </w:rPr>
            </w:pPr>
            <w:r w:rsidRPr="003426EA">
              <w:t>1</w:t>
            </w:r>
          </w:p>
        </w:tc>
        <w:tc>
          <w:tcPr>
            <w:tcW w:w="1534" w:type="dxa"/>
          </w:tcPr>
          <w:p w14:paraId="0C4CA2FD" w14:textId="53E318D7" w:rsidR="007C68E1" w:rsidRPr="007E3B8E" w:rsidRDefault="007C68E1" w:rsidP="0064354F">
            <w:pPr>
              <w:pStyle w:val="Table-Body-leftaligned"/>
              <w:jc w:val="center"/>
              <w:rPr>
                <w:bCs/>
              </w:rPr>
            </w:pPr>
            <w:r w:rsidRPr="00FE1FAA">
              <w:t>0.9</w:t>
            </w:r>
          </w:p>
        </w:tc>
      </w:tr>
      <w:tr w:rsidR="007C68E1" w:rsidRPr="007E3B8E" w14:paraId="2EF167DE" w14:textId="77777777" w:rsidTr="0064354F">
        <w:trPr>
          <w:trHeight w:val="109"/>
          <w:jc w:val="center"/>
        </w:trPr>
        <w:tc>
          <w:tcPr>
            <w:tcW w:w="1626" w:type="dxa"/>
          </w:tcPr>
          <w:p w14:paraId="1C3B23FD" w14:textId="77777777" w:rsidR="007C68E1" w:rsidRPr="007E3B8E" w:rsidRDefault="007C68E1" w:rsidP="007C68E1">
            <w:pPr>
              <w:pStyle w:val="Table-Body-leftaligned"/>
              <w:rPr>
                <w:bCs/>
              </w:rPr>
            </w:pPr>
            <w:r w:rsidRPr="007E3B8E">
              <w:rPr>
                <w:bCs/>
              </w:rPr>
              <w:t xml:space="preserve">2016 </w:t>
            </w:r>
          </w:p>
        </w:tc>
        <w:tc>
          <w:tcPr>
            <w:tcW w:w="1626" w:type="dxa"/>
          </w:tcPr>
          <w:p w14:paraId="23E068C5" w14:textId="530C3771" w:rsidR="007C68E1" w:rsidRPr="007E3B8E" w:rsidRDefault="007C68E1" w:rsidP="0064354F">
            <w:pPr>
              <w:pStyle w:val="Table-Body-leftaligned"/>
              <w:jc w:val="center"/>
              <w:rPr>
                <w:bCs/>
              </w:rPr>
            </w:pPr>
            <w:r w:rsidRPr="003426EA">
              <w:t>0.3</w:t>
            </w:r>
          </w:p>
        </w:tc>
        <w:tc>
          <w:tcPr>
            <w:tcW w:w="1534" w:type="dxa"/>
          </w:tcPr>
          <w:p w14:paraId="73200875" w14:textId="1819663A" w:rsidR="007C68E1" w:rsidRPr="007E3B8E" w:rsidRDefault="007C68E1" w:rsidP="0064354F">
            <w:pPr>
              <w:pStyle w:val="Table-Body-leftaligned"/>
              <w:jc w:val="center"/>
              <w:rPr>
                <w:bCs/>
              </w:rPr>
            </w:pPr>
            <w:r w:rsidRPr="00FE1FAA">
              <w:t>0.2</w:t>
            </w:r>
          </w:p>
        </w:tc>
      </w:tr>
      <w:tr w:rsidR="007C68E1" w:rsidRPr="007E3B8E" w14:paraId="76133020" w14:textId="77777777" w:rsidTr="0064354F">
        <w:trPr>
          <w:trHeight w:val="109"/>
          <w:jc w:val="center"/>
        </w:trPr>
        <w:tc>
          <w:tcPr>
            <w:tcW w:w="1626" w:type="dxa"/>
          </w:tcPr>
          <w:p w14:paraId="7E2A70C2" w14:textId="77777777" w:rsidR="007C68E1" w:rsidRPr="007E3B8E" w:rsidRDefault="007C68E1" w:rsidP="007C68E1">
            <w:pPr>
              <w:pStyle w:val="Table-Body-leftaligned"/>
              <w:rPr>
                <w:bCs/>
              </w:rPr>
            </w:pPr>
            <w:r w:rsidRPr="007E3B8E">
              <w:rPr>
                <w:bCs/>
              </w:rPr>
              <w:t xml:space="preserve">2017 </w:t>
            </w:r>
          </w:p>
        </w:tc>
        <w:tc>
          <w:tcPr>
            <w:tcW w:w="1626" w:type="dxa"/>
          </w:tcPr>
          <w:p w14:paraId="3D34BCC3" w14:textId="260A8F29" w:rsidR="007C68E1" w:rsidRPr="007E3B8E" w:rsidRDefault="007C68E1" w:rsidP="0064354F">
            <w:pPr>
              <w:pStyle w:val="Table-Body-leftaligned"/>
              <w:jc w:val="center"/>
              <w:rPr>
                <w:bCs/>
              </w:rPr>
            </w:pPr>
            <w:r w:rsidRPr="003426EA">
              <w:t>0.1</w:t>
            </w:r>
          </w:p>
        </w:tc>
        <w:tc>
          <w:tcPr>
            <w:tcW w:w="1534" w:type="dxa"/>
          </w:tcPr>
          <w:p w14:paraId="2B3A491A" w14:textId="68C40B13" w:rsidR="007C68E1" w:rsidRPr="007E3B8E" w:rsidRDefault="007C68E1" w:rsidP="0064354F">
            <w:pPr>
              <w:pStyle w:val="Table-Body-leftaligned"/>
              <w:jc w:val="center"/>
              <w:rPr>
                <w:bCs/>
              </w:rPr>
            </w:pPr>
            <w:r w:rsidRPr="00FE1FAA">
              <w:t>0.012</w:t>
            </w:r>
          </w:p>
        </w:tc>
      </w:tr>
      <w:tr w:rsidR="007C68E1" w:rsidRPr="007E3B8E" w14:paraId="436C88ED" w14:textId="77777777" w:rsidTr="0064354F">
        <w:trPr>
          <w:trHeight w:val="109"/>
          <w:jc w:val="center"/>
        </w:trPr>
        <w:tc>
          <w:tcPr>
            <w:tcW w:w="1626" w:type="dxa"/>
          </w:tcPr>
          <w:p w14:paraId="592A38FB" w14:textId="77777777" w:rsidR="007C68E1" w:rsidRPr="007E3B8E" w:rsidRDefault="007C68E1" w:rsidP="007C68E1">
            <w:pPr>
              <w:pStyle w:val="Table-Body-leftaligned"/>
              <w:rPr>
                <w:bCs/>
              </w:rPr>
            </w:pPr>
            <w:r w:rsidRPr="007E3B8E">
              <w:rPr>
                <w:bCs/>
              </w:rPr>
              <w:t xml:space="preserve">2018 </w:t>
            </w:r>
          </w:p>
        </w:tc>
        <w:tc>
          <w:tcPr>
            <w:tcW w:w="1626" w:type="dxa"/>
          </w:tcPr>
          <w:p w14:paraId="43D8CAAD" w14:textId="1C7E3808" w:rsidR="007C68E1" w:rsidRPr="007E3B8E" w:rsidRDefault="007C68E1" w:rsidP="0064354F">
            <w:pPr>
              <w:pStyle w:val="Table-Body-leftaligned"/>
              <w:jc w:val="center"/>
              <w:rPr>
                <w:bCs/>
              </w:rPr>
            </w:pPr>
            <w:r w:rsidRPr="003426EA">
              <w:t>0.06</w:t>
            </w:r>
          </w:p>
        </w:tc>
        <w:tc>
          <w:tcPr>
            <w:tcW w:w="1534" w:type="dxa"/>
          </w:tcPr>
          <w:p w14:paraId="6EE4325A" w14:textId="7C791C76" w:rsidR="007C68E1" w:rsidRPr="007E3B8E" w:rsidRDefault="007C68E1" w:rsidP="0064354F">
            <w:pPr>
              <w:pStyle w:val="Table-Body-leftaligned"/>
              <w:jc w:val="center"/>
              <w:rPr>
                <w:bCs/>
              </w:rPr>
            </w:pPr>
            <w:r w:rsidRPr="00FE1FAA">
              <w:t>0.004</w:t>
            </w:r>
          </w:p>
        </w:tc>
      </w:tr>
      <w:tr w:rsidR="007C68E1" w:rsidRPr="007E3B8E" w14:paraId="6AEAE713" w14:textId="77777777" w:rsidTr="0064354F">
        <w:trPr>
          <w:trHeight w:val="109"/>
          <w:jc w:val="center"/>
        </w:trPr>
        <w:tc>
          <w:tcPr>
            <w:tcW w:w="1626" w:type="dxa"/>
          </w:tcPr>
          <w:p w14:paraId="35CDCB08" w14:textId="77777777" w:rsidR="007C68E1" w:rsidRPr="007E3B8E" w:rsidRDefault="007C68E1" w:rsidP="007C68E1">
            <w:pPr>
              <w:pStyle w:val="Table-Body-leftaligned"/>
              <w:rPr>
                <w:bCs/>
              </w:rPr>
            </w:pPr>
            <w:r w:rsidRPr="007E3B8E">
              <w:rPr>
                <w:bCs/>
              </w:rPr>
              <w:t xml:space="preserve">2019 </w:t>
            </w:r>
          </w:p>
        </w:tc>
        <w:tc>
          <w:tcPr>
            <w:tcW w:w="1626" w:type="dxa"/>
          </w:tcPr>
          <w:p w14:paraId="32F2D111" w14:textId="5A920FA9" w:rsidR="007C68E1" w:rsidRPr="007E3B8E" w:rsidRDefault="007C68E1" w:rsidP="0064354F">
            <w:pPr>
              <w:pStyle w:val="Table-Body-leftaligned"/>
              <w:jc w:val="center"/>
              <w:rPr>
                <w:bCs/>
              </w:rPr>
            </w:pPr>
            <w:r w:rsidRPr="003426EA">
              <w:t>0.04</w:t>
            </w:r>
          </w:p>
        </w:tc>
        <w:tc>
          <w:tcPr>
            <w:tcW w:w="1534" w:type="dxa"/>
          </w:tcPr>
          <w:p w14:paraId="284B46E1" w14:textId="0ABBA142" w:rsidR="007C68E1" w:rsidRPr="007E3B8E" w:rsidRDefault="007C68E1" w:rsidP="0064354F">
            <w:pPr>
              <w:pStyle w:val="Table-Body-leftaligned"/>
              <w:jc w:val="center"/>
              <w:rPr>
                <w:bCs/>
              </w:rPr>
            </w:pPr>
            <w:r w:rsidRPr="00FE1FAA">
              <w:t>0.002</w:t>
            </w:r>
          </w:p>
        </w:tc>
      </w:tr>
      <w:tr w:rsidR="007C68E1" w:rsidRPr="007E3B8E" w14:paraId="0A56D2E9" w14:textId="77777777" w:rsidTr="0064354F">
        <w:trPr>
          <w:trHeight w:val="109"/>
          <w:jc w:val="center"/>
        </w:trPr>
        <w:tc>
          <w:tcPr>
            <w:tcW w:w="1626" w:type="dxa"/>
          </w:tcPr>
          <w:p w14:paraId="50AFACBA" w14:textId="77777777" w:rsidR="007C68E1" w:rsidRPr="007E3B8E" w:rsidRDefault="007C68E1" w:rsidP="007C68E1">
            <w:pPr>
              <w:pStyle w:val="Table-Body-leftaligned"/>
              <w:rPr>
                <w:bCs/>
              </w:rPr>
            </w:pPr>
            <w:r w:rsidRPr="007E3B8E">
              <w:rPr>
                <w:bCs/>
              </w:rPr>
              <w:t xml:space="preserve">2020 </w:t>
            </w:r>
          </w:p>
        </w:tc>
        <w:tc>
          <w:tcPr>
            <w:tcW w:w="1626" w:type="dxa"/>
          </w:tcPr>
          <w:p w14:paraId="7E8239E7" w14:textId="49F7BAB4" w:rsidR="007C68E1" w:rsidRPr="007E3B8E" w:rsidRDefault="007C68E1" w:rsidP="0064354F">
            <w:pPr>
              <w:pStyle w:val="Table-Body-leftaligned"/>
              <w:jc w:val="center"/>
              <w:rPr>
                <w:bCs/>
              </w:rPr>
            </w:pPr>
            <w:r w:rsidRPr="003426EA">
              <w:t>0.052</w:t>
            </w:r>
          </w:p>
        </w:tc>
        <w:tc>
          <w:tcPr>
            <w:tcW w:w="1534" w:type="dxa"/>
          </w:tcPr>
          <w:p w14:paraId="64F4470E" w14:textId="5D9B26F1" w:rsidR="007C68E1" w:rsidRPr="007E3B8E" w:rsidRDefault="007C68E1" w:rsidP="0064354F">
            <w:pPr>
              <w:pStyle w:val="Table-Body-leftaligned"/>
              <w:jc w:val="center"/>
              <w:rPr>
                <w:bCs/>
              </w:rPr>
            </w:pPr>
            <w:r w:rsidRPr="00FE1FAA">
              <w:t>0</w:t>
            </w:r>
          </w:p>
        </w:tc>
      </w:tr>
      <w:tr w:rsidR="007C68E1" w:rsidRPr="007E3B8E" w14:paraId="239B4782" w14:textId="77777777" w:rsidTr="0064354F">
        <w:trPr>
          <w:trHeight w:val="109"/>
          <w:jc w:val="center"/>
        </w:trPr>
        <w:tc>
          <w:tcPr>
            <w:tcW w:w="1626" w:type="dxa"/>
          </w:tcPr>
          <w:p w14:paraId="3FE5DA8F" w14:textId="77777777" w:rsidR="007C68E1" w:rsidRPr="007E3B8E" w:rsidRDefault="007C68E1" w:rsidP="007C68E1">
            <w:pPr>
              <w:pStyle w:val="Table-Body-leftaligned"/>
              <w:rPr>
                <w:bCs/>
              </w:rPr>
            </w:pPr>
            <w:r w:rsidRPr="007E3B8E">
              <w:rPr>
                <w:bCs/>
              </w:rPr>
              <w:t xml:space="preserve">2021 </w:t>
            </w:r>
          </w:p>
        </w:tc>
        <w:tc>
          <w:tcPr>
            <w:tcW w:w="1626" w:type="dxa"/>
          </w:tcPr>
          <w:p w14:paraId="6FFE7657" w14:textId="209E0F81" w:rsidR="007C68E1" w:rsidRPr="007E3B8E" w:rsidRDefault="007C68E1" w:rsidP="0064354F">
            <w:pPr>
              <w:pStyle w:val="Table-Body-leftaligned"/>
              <w:jc w:val="center"/>
              <w:rPr>
                <w:bCs/>
              </w:rPr>
            </w:pPr>
            <w:r w:rsidRPr="003426EA">
              <w:t>0.033</w:t>
            </w:r>
          </w:p>
        </w:tc>
        <w:tc>
          <w:tcPr>
            <w:tcW w:w="1534" w:type="dxa"/>
          </w:tcPr>
          <w:p w14:paraId="100ED202" w14:textId="27A19A25" w:rsidR="007C68E1" w:rsidRPr="007E3B8E" w:rsidRDefault="007C68E1" w:rsidP="0064354F">
            <w:pPr>
              <w:pStyle w:val="Table-Body-leftaligned"/>
              <w:jc w:val="center"/>
              <w:rPr>
                <w:bCs/>
              </w:rPr>
            </w:pPr>
            <w:r w:rsidRPr="00FE1FAA">
              <w:t>0</w:t>
            </w:r>
          </w:p>
        </w:tc>
      </w:tr>
      <w:tr w:rsidR="007C68E1" w:rsidRPr="007E3B8E" w14:paraId="7ED885DD" w14:textId="77777777" w:rsidTr="0064354F">
        <w:trPr>
          <w:trHeight w:val="109"/>
          <w:jc w:val="center"/>
        </w:trPr>
        <w:tc>
          <w:tcPr>
            <w:tcW w:w="1626" w:type="dxa"/>
          </w:tcPr>
          <w:p w14:paraId="17130339" w14:textId="77777777" w:rsidR="007C68E1" w:rsidRPr="007E3B8E" w:rsidRDefault="007C68E1" w:rsidP="007C68E1">
            <w:pPr>
              <w:pStyle w:val="Table-Body-leftaligned"/>
              <w:rPr>
                <w:bCs/>
              </w:rPr>
            </w:pPr>
            <w:r w:rsidRPr="007E3B8E">
              <w:rPr>
                <w:bCs/>
              </w:rPr>
              <w:t xml:space="preserve">2022 </w:t>
            </w:r>
          </w:p>
        </w:tc>
        <w:tc>
          <w:tcPr>
            <w:tcW w:w="1626" w:type="dxa"/>
          </w:tcPr>
          <w:p w14:paraId="4F6F4FA3" w14:textId="3621FE61" w:rsidR="007C68E1" w:rsidRPr="007E3B8E" w:rsidRDefault="007C68E1" w:rsidP="0064354F">
            <w:pPr>
              <w:pStyle w:val="Table-Body-leftaligned"/>
              <w:jc w:val="center"/>
              <w:rPr>
                <w:bCs/>
              </w:rPr>
            </w:pPr>
            <w:r w:rsidRPr="003426EA">
              <w:t>0.013</w:t>
            </w:r>
          </w:p>
        </w:tc>
        <w:tc>
          <w:tcPr>
            <w:tcW w:w="1534" w:type="dxa"/>
          </w:tcPr>
          <w:p w14:paraId="7C4F0750" w14:textId="7ABD8057" w:rsidR="007C68E1" w:rsidRPr="007E3B8E" w:rsidRDefault="007C68E1" w:rsidP="0064354F">
            <w:pPr>
              <w:pStyle w:val="Table-Body-leftaligned"/>
              <w:jc w:val="center"/>
              <w:rPr>
                <w:bCs/>
              </w:rPr>
            </w:pPr>
            <w:r w:rsidRPr="00FE1FAA">
              <w:t>0</w:t>
            </w:r>
          </w:p>
        </w:tc>
      </w:tr>
      <w:tr w:rsidR="007C68E1" w:rsidRPr="007E3B8E" w14:paraId="75E6B87F" w14:textId="77777777" w:rsidTr="0064354F">
        <w:trPr>
          <w:trHeight w:val="109"/>
          <w:jc w:val="center"/>
        </w:trPr>
        <w:tc>
          <w:tcPr>
            <w:tcW w:w="1626" w:type="dxa"/>
          </w:tcPr>
          <w:p w14:paraId="53946E96" w14:textId="77777777" w:rsidR="007C68E1" w:rsidRPr="007E3B8E" w:rsidRDefault="007C68E1" w:rsidP="007C68E1">
            <w:pPr>
              <w:pStyle w:val="Table-Body-leftaligned"/>
              <w:rPr>
                <w:bCs/>
              </w:rPr>
            </w:pPr>
            <w:r w:rsidRPr="007E3B8E">
              <w:rPr>
                <w:bCs/>
              </w:rPr>
              <w:t xml:space="preserve">2023 </w:t>
            </w:r>
          </w:p>
        </w:tc>
        <w:tc>
          <w:tcPr>
            <w:tcW w:w="1626" w:type="dxa"/>
          </w:tcPr>
          <w:p w14:paraId="006361B7" w14:textId="208C2EB3" w:rsidR="007C68E1" w:rsidRPr="007E3B8E" w:rsidRDefault="007C68E1" w:rsidP="0064354F">
            <w:pPr>
              <w:pStyle w:val="Table-Body-leftaligned"/>
              <w:jc w:val="center"/>
              <w:rPr>
                <w:bCs/>
              </w:rPr>
            </w:pPr>
            <w:r w:rsidRPr="003426EA">
              <w:t>0.007</w:t>
            </w:r>
          </w:p>
        </w:tc>
        <w:tc>
          <w:tcPr>
            <w:tcW w:w="1534" w:type="dxa"/>
          </w:tcPr>
          <w:p w14:paraId="7FA84833" w14:textId="14387EDE" w:rsidR="007C68E1" w:rsidRPr="007E3B8E" w:rsidRDefault="007C68E1" w:rsidP="0064354F">
            <w:pPr>
              <w:pStyle w:val="Table-Body-leftaligned"/>
              <w:jc w:val="center"/>
              <w:rPr>
                <w:bCs/>
              </w:rPr>
            </w:pPr>
            <w:r w:rsidRPr="00FE1FAA">
              <w:t>0</w:t>
            </w:r>
          </w:p>
        </w:tc>
      </w:tr>
      <w:tr w:rsidR="007C68E1" w:rsidRPr="007E3B8E" w14:paraId="282C6BC3" w14:textId="77777777" w:rsidTr="0064354F">
        <w:trPr>
          <w:trHeight w:val="109"/>
          <w:jc w:val="center"/>
        </w:trPr>
        <w:tc>
          <w:tcPr>
            <w:tcW w:w="1626" w:type="dxa"/>
          </w:tcPr>
          <w:p w14:paraId="2F40E4FC" w14:textId="77777777" w:rsidR="007C68E1" w:rsidRPr="007E3B8E" w:rsidRDefault="007C68E1" w:rsidP="007C68E1">
            <w:pPr>
              <w:pStyle w:val="Table-Body-leftaligned"/>
              <w:rPr>
                <w:bCs/>
              </w:rPr>
            </w:pPr>
            <w:r w:rsidRPr="007E3B8E">
              <w:rPr>
                <w:bCs/>
              </w:rPr>
              <w:t xml:space="preserve">2024 </w:t>
            </w:r>
          </w:p>
        </w:tc>
        <w:tc>
          <w:tcPr>
            <w:tcW w:w="1626" w:type="dxa"/>
          </w:tcPr>
          <w:p w14:paraId="679D7355" w14:textId="343DB459" w:rsidR="007C68E1" w:rsidRPr="007E3B8E" w:rsidRDefault="007C68E1" w:rsidP="0064354F">
            <w:pPr>
              <w:pStyle w:val="Table-Body-leftaligned"/>
              <w:jc w:val="center"/>
              <w:rPr>
                <w:bCs/>
              </w:rPr>
            </w:pPr>
            <w:r w:rsidRPr="003426EA">
              <w:t>0.009</w:t>
            </w:r>
          </w:p>
        </w:tc>
        <w:tc>
          <w:tcPr>
            <w:tcW w:w="1534" w:type="dxa"/>
          </w:tcPr>
          <w:p w14:paraId="1E5E7147" w14:textId="65F577C9" w:rsidR="007C68E1" w:rsidRPr="007E3B8E" w:rsidRDefault="007C68E1" w:rsidP="0064354F">
            <w:pPr>
              <w:pStyle w:val="Table-Body-leftaligned"/>
              <w:jc w:val="center"/>
              <w:rPr>
                <w:bCs/>
              </w:rPr>
            </w:pPr>
            <w:r w:rsidRPr="00FE1FAA">
              <w:t>0</w:t>
            </w:r>
          </w:p>
        </w:tc>
      </w:tr>
      <w:tr w:rsidR="007C68E1" w:rsidRPr="007E3B8E" w14:paraId="02DE0EEF" w14:textId="77777777" w:rsidTr="0064354F">
        <w:trPr>
          <w:trHeight w:val="109"/>
          <w:jc w:val="center"/>
        </w:trPr>
        <w:tc>
          <w:tcPr>
            <w:tcW w:w="1626" w:type="dxa"/>
          </w:tcPr>
          <w:p w14:paraId="4B2EEFCE" w14:textId="77777777" w:rsidR="007C68E1" w:rsidRPr="007E3B8E" w:rsidRDefault="007C68E1" w:rsidP="007C68E1">
            <w:pPr>
              <w:pStyle w:val="Table-Body-leftaligned"/>
              <w:rPr>
                <w:bCs/>
              </w:rPr>
            </w:pPr>
            <w:r w:rsidRPr="007E3B8E">
              <w:rPr>
                <w:bCs/>
              </w:rPr>
              <w:t xml:space="preserve">2025 </w:t>
            </w:r>
          </w:p>
        </w:tc>
        <w:tc>
          <w:tcPr>
            <w:tcW w:w="1626" w:type="dxa"/>
          </w:tcPr>
          <w:p w14:paraId="62B2951D" w14:textId="3221CF48" w:rsidR="007C68E1" w:rsidRPr="007E3B8E" w:rsidRDefault="007C68E1" w:rsidP="0064354F">
            <w:pPr>
              <w:pStyle w:val="Table-Body-leftaligned"/>
              <w:jc w:val="center"/>
              <w:rPr>
                <w:bCs/>
              </w:rPr>
            </w:pPr>
            <w:r w:rsidRPr="003426EA">
              <w:t>0.012</w:t>
            </w:r>
          </w:p>
        </w:tc>
        <w:tc>
          <w:tcPr>
            <w:tcW w:w="1534" w:type="dxa"/>
          </w:tcPr>
          <w:p w14:paraId="780F6D39" w14:textId="6CA4D445" w:rsidR="007C68E1" w:rsidRPr="007E3B8E" w:rsidRDefault="007C68E1" w:rsidP="0064354F">
            <w:pPr>
              <w:pStyle w:val="Table-Body-leftaligned"/>
              <w:jc w:val="center"/>
              <w:rPr>
                <w:bCs/>
              </w:rPr>
            </w:pPr>
            <w:r w:rsidRPr="00FE1FAA">
              <w:t>0</w:t>
            </w:r>
          </w:p>
        </w:tc>
      </w:tr>
    </w:tbl>
    <w:p w14:paraId="6FF4956C" w14:textId="77777777" w:rsidR="000E462D" w:rsidRDefault="000E462D" w:rsidP="00EB4794">
      <w:pPr>
        <w:pStyle w:val="Heading3"/>
        <w:jc w:val="left"/>
        <w:rPr>
          <w:rFonts w:ascii="Arial" w:hAnsi="Arial"/>
          <w:b/>
          <w:bCs/>
          <w:color w:val="5F5F5F"/>
          <w:sz w:val="20"/>
        </w:rPr>
      </w:pPr>
    </w:p>
    <w:p w14:paraId="6954DD21" w14:textId="77777777" w:rsidR="000E462D" w:rsidRDefault="000E462D" w:rsidP="00EB4794">
      <w:pPr>
        <w:pStyle w:val="Heading3"/>
        <w:jc w:val="left"/>
        <w:rPr>
          <w:rFonts w:ascii="Arial" w:hAnsi="Arial"/>
          <w:b/>
          <w:bCs/>
          <w:color w:val="5F5F5F"/>
          <w:sz w:val="20"/>
        </w:rPr>
      </w:pPr>
    </w:p>
    <w:p w14:paraId="542AE831" w14:textId="77777777" w:rsidR="000E462D" w:rsidRDefault="000E462D" w:rsidP="00EB4794">
      <w:pPr>
        <w:pStyle w:val="Heading3"/>
        <w:jc w:val="left"/>
        <w:rPr>
          <w:rFonts w:ascii="Arial" w:hAnsi="Arial"/>
          <w:b/>
          <w:bCs/>
          <w:color w:val="5F5F5F"/>
          <w:sz w:val="20"/>
        </w:rPr>
      </w:pPr>
    </w:p>
    <w:p w14:paraId="4F56F09B" w14:textId="77777777" w:rsidR="000E462D" w:rsidRDefault="000E462D" w:rsidP="00EB4794">
      <w:pPr>
        <w:pStyle w:val="Heading3"/>
        <w:jc w:val="left"/>
        <w:rPr>
          <w:rFonts w:ascii="Arial" w:hAnsi="Arial"/>
          <w:b/>
          <w:bCs/>
          <w:color w:val="5F5F5F"/>
          <w:sz w:val="20"/>
        </w:rPr>
      </w:pPr>
    </w:p>
    <w:p w14:paraId="5EE29D18" w14:textId="77777777" w:rsidR="000E462D" w:rsidRDefault="000E462D" w:rsidP="00EB4794">
      <w:pPr>
        <w:pStyle w:val="Heading3"/>
        <w:jc w:val="left"/>
        <w:rPr>
          <w:rFonts w:ascii="Arial" w:hAnsi="Arial"/>
          <w:b/>
          <w:bCs/>
          <w:color w:val="5F5F5F"/>
          <w:sz w:val="20"/>
        </w:rPr>
      </w:pPr>
    </w:p>
    <w:p w14:paraId="524B29B5" w14:textId="77777777" w:rsidR="000E462D" w:rsidRDefault="000E462D" w:rsidP="00EB4794">
      <w:pPr>
        <w:pStyle w:val="Heading3"/>
        <w:jc w:val="left"/>
        <w:rPr>
          <w:rFonts w:ascii="Arial" w:hAnsi="Arial"/>
          <w:b/>
          <w:bCs/>
          <w:color w:val="5F5F5F"/>
          <w:sz w:val="20"/>
        </w:rPr>
      </w:pPr>
    </w:p>
    <w:p w14:paraId="185D451A" w14:textId="77777777" w:rsidR="000E462D" w:rsidRDefault="000E462D" w:rsidP="00EB4794">
      <w:pPr>
        <w:pStyle w:val="Heading3"/>
        <w:jc w:val="left"/>
        <w:rPr>
          <w:rFonts w:ascii="Arial" w:hAnsi="Arial"/>
          <w:b/>
          <w:bCs/>
          <w:color w:val="5F5F5F"/>
          <w:sz w:val="20"/>
        </w:rPr>
      </w:pPr>
    </w:p>
    <w:p w14:paraId="5FC84AD6" w14:textId="77777777" w:rsidR="000E462D" w:rsidRDefault="000E462D" w:rsidP="00EB4794">
      <w:pPr>
        <w:pStyle w:val="Heading3"/>
        <w:jc w:val="left"/>
        <w:rPr>
          <w:rFonts w:ascii="Arial" w:hAnsi="Arial"/>
          <w:b/>
          <w:bCs/>
          <w:color w:val="5F5F5F"/>
          <w:sz w:val="20"/>
        </w:rPr>
      </w:pPr>
    </w:p>
    <w:p w14:paraId="6E741C36" w14:textId="77777777" w:rsidR="000E462D" w:rsidRDefault="000E462D" w:rsidP="00EB4794">
      <w:pPr>
        <w:pStyle w:val="Heading3"/>
        <w:jc w:val="left"/>
        <w:rPr>
          <w:rFonts w:ascii="Arial" w:hAnsi="Arial"/>
          <w:b/>
          <w:bCs/>
          <w:color w:val="5F5F5F"/>
          <w:sz w:val="20"/>
        </w:rPr>
      </w:pPr>
    </w:p>
    <w:p w14:paraId="6829EBA3" w14:textId="77777777" w:rsidR="000E462D" w:rsidRDefault="000E462D" w:rsidP="00EB4794">
      <w:pPr>
        <w:pStyle w:val="Heading3"/>
        <w:jc w:val="left"/>
        <w:rPr>
          <w:rFonts w:ascii="Arial" w:hAnsi="Arial"/>
          <w:b/>
          <w:bCs/>
          <w:color w:val="5F5F5F"/>
          <w:sz w:val="20"/>
        </w:rPr>
      </w:pPr>
    </w:p>
    <w:p w14:paraId="162F37D7" w14:textId="77777777" w:rsidR="000E462D" w:rsidRDefault="000E462D" w:rsidP="00EB4794">
      <w:pPr>
        <w:pStyle w:val="Heading3"/>
        <w:jc w:val="left"/>
        <w:rPr>
          <w:rFonts w:ascii="Arial" w:hAnsi="Arial"/>
          <w:b/>
          <w:bCs/>
          <w:color w:val="5F5F5F"/>
          <w:sz w:val="20"/>
        </w:rPr>
      </w:pPr>
    </w:p>
    <w:p w14:paraId="4A2C373B" w14:textId="2B41CBAB" w:rsidR="009F0F8E" w:rsidRDefault="00412CB8" w:rsidP="00EB4794">
      <w:pPr>
        <w:pStyle w:val="Heading3"/>
        <w:jc w:val="left"/>
        <w:rPr>
          <w:rFonts w:ascii="Arial" w:hAnsi="Arial"/>
          <w:b/>
          <w:bCs/>
          <w:color w:val="5F5F5F"/>
          <w:sz w:val="20"/>
        </w:rPr>
      </w:pPr>
      <w:r w:rsidRPr="005D1C47">
        <w:rPr>
          <w:rFonts w:ascii="Arial" w:hAnsi="Arial"/>
          <w:b/>
          <w:bCs/>
          <w:color w:val="5F5F5F"/>
          <w:sz w:val="20"/>
        </w:rPr>
        <w:lastRenderedPageBreak/>
        <w:t xml:space="preserve">Figure </w:t>
      </w:r>
      <w:r w:rsidR="001538E8">
        <w:rPr>
          <w:rFonts w:ascii="Arial" w:hAnsi="Arial"/>
          <w:b/>
          <w:bCs/>
          <w:color w:val="5F5F5F"/>
          <w:sz w:val="20"/>
        </w:rPr>
        <w:t>2</w:t>
      </w:r>
      <w:r w:rsidRPr="005D1C47">
        <w:rPr>
          <w:rFonts w:ascii="Arial" w:hAnsi="Arial"/>
          <w:b/>
          <w:bCs/>
          <w:color w:val="5F5F5F"/>
          <w:sz w:val="20"/>
        </w:rPr>
        <w:t xml:space="preserve">. </w:t>
      </w:r>
      <w:r>
        <w:rPr>
          <w:rFonts w:ascii="Arial" w:hAnsi="Arial"/>
          <w:b/>
          <w:bCs/>
          <w:color w:val="5F5F5F"/>
          <w:sz w:val="20"/>
        </w:rPr>
        <w:t xml:space="preserve">Bar chart </w:t>
      </w:r>
      <w:r w:rsidR="00F602E1">
        <w:rPr>
          <w:rFonts w:ascii="Arial" w:hAnsi="Arial"/>
          <w:b/>
          <w:bCs/>
          <w:color w:val="5F5F5F"/>
          <w:sz w:val="20"/>
        </w:rPr>
        <w:t xml:space="preserve">of </w:t>
      </w:r>
      <w:r w:rsidR="001757DD">
        <w:rPr>
          <w:rFonts w:ascii="Arial" w:hAnsi="Arial"/>
          <w:b/>
          <w:bCs/>
          <w:color w:val="5F5F5F"/>
          <w:sz w:val="20"/>
        </w:rPr>
        <w:t>a</w:t>
      </w:r>
      <w:r w:rsidR="001757DD" w:rsidRPr="001757DD">
        <w:rPr>
          <w:rFonts w:ascii="Arial" w:hAnsi="Arial"/>
          <w:b/>
          <w:bCs/>
          <w:color w:val="5F5F5F"/>
          <w:sz w:val="20"/>
        </w:rPr>
        <w:t xml:space="preserve">nnual usage of </w:t>
      </w:r>
      <w:r w:rsidR="007C6A0D" w:rsidRPr="007C6A0D">
        <w:rPr>
          <w:rFonts w:ascii="Arial" w:hAnsi="Arial"/>
          <w:b/>
          <w:bCs/>
          <w:color w:val="5F5F5F"/>
          <w:sz w:val="20"/>
        </w:rPr>
        <w:t>HP-CIA</w:t>
      </w:r>
      <w:r w:rsidR="007C6A0D">
        <w:rPr>
          <w:rFonts w:ascii="Arial" w:hAnsi="Arial"/>
          <w:b/>
          <w:bCs/>
          <w:color w:val="5F5F5F"/>
          <w:sz w:val="20"/>
        </w:rPr>
        <w:t>s</w:t>
      </w:r>
      <w:r w:rsidR="007C6A0D" w:rsidRPr="007C6A0D" w:rsidDel="007C6A0D">
        <w:rPr>
          <w:rFonts w:ascii="Arial" w:hAnsi="Arial"/>
          <w:b/>
          <w:bCs/>
          <w:color w:val="5F5F5F"/>
          <w:sz w:val="20"/>
        </w:rPr>
        <w:t xml:space="preserve"> </w:t>
      </w:r>
      <w:r w:rsidR="00520B71">
        <w:rPr>
          <w:rFonts w:ascii="Arial" w:hAnsi="Arial"/>
          <w:b/>
          <w:bCs/>
          <w:color w:val="5F5F5F"/>
          <w:sz w:val="20"/>
        </w:rPr>
        <w:t>in pigs recorded in eMB</w:t>
      </w:r>
      <w:r w:rsidR="001757DD" w:rsidRPr="001757DD">
        <w:rPr>
          <w:rFonts w:ascii="Arial" w:hAnsi="Arial"/>
          <w:b/>
          <w:bCs/>
          <w:color w:val="5F5F5F"/>
          <w:sz w:val="20"/>
        </w:rPr>
        <w:t xml:space="preserve"> from 2015 to 2025</w:t>
      </w:r>
      <w:r w:rsidR="001757DD">
        <w:rPr>
          <w:rFonts w:ascii="Arial" w:hAnsi="Arial"/>
          <w:b/>
          <w:bCs/>
          <w:color w:val="5F5F5F"/>
          <w:sz w:val="20"/>
        </w:rPr>
        <w:t xml:space="preserve"> </w:t>
      </w:r>
      <w:r w:rsidR="007C6A0D">
        <w:rPr>
          <w:rFonts w:ascii="Arial" w:hAnsi="Arial"/>
          <w:b/>
          <w:bCs/>
          <w:color w:val="5F5F5F"/>
          <w:sz w:val="20"/>
        </w:rPr>
        <w:t>(</w:t>
      </w:r>
      <w:r w:rsidR="006615AF">
        <w:rPr>
          <w:rFonts w:ascii="Arial" w:hAnsi="Arial"/>
          <w:b/>
          <w:bCs/>
          <w:color w:val="5F5F5F"/>
          <w:sz w:val="20"/>
        </w:rPr>
        <w:t>mg/PCU)</w:t>
      </w:r>
    </w:p>
    <w:p w14:paraId="0AAC940C" w14:textId="274D2869" w:rsidR="00412CB8" w:rsidRDefault="001473A2" w:rsidP="00EB4794">
      <w:pPr>
        <w:pStyle w:val="Heading3"/>
        <w:jc w:val="left"/>
        <w:rPr>
          <w:rFonts w:ascii="Arial" w:hAnsi="Arial"/>
          <w:color w:val="5F5F5F"/>
          <w:sz w:val="20"/>
        </w:rPr>
      </w:pPr>
      <w:r w:rsidRPr="001473A2">
        <w:rPr>
          <w:rFonts w:ascii="Arial" w:hAnsi="Arial"/>
          <w:noProof/>
          <w:color w:val="5F5F5F"/>
          <w:sz w:val="20"/>
        </w:rPr>
        <w:drawing>
          <wp:inline distT="0" distB="0" distL="0" distR="0" wp14:anchorId="5613FAB1" wp14:editId="06891406">
            <wp:extent cx="5731510" cy="3963585"/>
            <wp:effectExtent l="0" t="0" r="2540" b="0"/>
            <wp:docPr id="1779101074" name="Picture 1" descr="Bar chart showing highest priority critically important antibiotic usage in pigs from 2015 to 2025, measured in mg/PCU. Colistin (orange) usage sharply decreases after 2015, while Fluoroquinolones (blue) show much smaller but consistent usage, with 3rd and 4th generation Cephalosporins (green) usage nearly negligible throughou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01074" name="Picture 1" descr="Bar chart showing highest priority critically important antibiotic usage in pigs from 2015 to 2025, measured in mg/PCU. Colistin (orange) usage sharply decreases after 2015, while Fluoroquinolones (blue) show much smaller but consistent usage, with 3rd and 4th generation Cephalosporins (green) usage nearly negligible throughout.&#10;"/>
                    <pic:cNvPicPr/>
                  </pic:nvPicPr>
                  <pic:blipFill rotWithShape="1">
                    <a:blip r:embed="rId15"/>
                    <a:srcRect t="10716"/>
                    <a:stretch>
                      <a:fillRect/>
                    </a:stretch>
                  </pic:blipFill>
                  <pic:spPr bwMode="auto">
                    <a:xfrm>
                      <a:off x="0" y="0"/>
                      <a:ext cx="5731510" cy="3963585"/>
                    </a:xfrm>
                    <a:prstGeom prst="rect">
                      <a:avLst/>
                    </a:prstGeom>
                    <a:ln>
                      <a:noFill/>
                    </a:ln>
                    <a:extLst>
                      <a:ext uri="{53640926-AAD7-44D8-BBD7-CCE9431645EC}">
                        <a14:shadowObscured xmlns:a14="http://schemas.microsoft.com/office/drawing/2010/main"/>
                      </a:ext>
                    </a:extLst>
                  </pic:spPr>
                </pic:pic>
              </a:graphicData>
            </a:graphic>
          </wp:inline>
        </w:drawing>
      </w:r>
    </w:p>
    <w:p w14:paraId="31EB5922" w14:textId="195A8889" w:rsidR="008716F7" w:rsidRDefault="008716F7" w:rsidP="00EB4794">
      <w:pPr>
        <w:pStyle w:val="Heading3"/>
        <w:jc w:val="left"/>
        <w:rPr>
          <w:rFonts w:ascii="Arial" w:hAnsi="Arial"/>
          <w:color w:val="5F5F5F"/>
          <w:sz w:val="20"/>
        </w:rPr>
      </w:pPr>
      <w:r>
        <w:rPr>
          <w:rFonts w:ascii="Arial" w:hAnsi="Arial"/>
          <w:color w:val="5F5F5F"/>
          <w:sz w:val="20"/>
        </w:rPr>
        <w:t>Source: eMB, AHDB</w:t>
      </w:r>
    </w:p>
    <w:p w14:paraId="22B360A4" w14:textId="77777777" w:rsidR="00F73A38" w:rsidRDefault="00F73A38" w:rsidP="0064354F">
      <w:pPr>
        <w:pStyle w:val="Heading2"/>
        <w:jc w:val="left"/>
      </w:pPr>
      <w:r w:rsidRPr="00F73A38">
        <w:t>Antibiotic usage recorded in eMB by antibiotic class</w:t>
      </w:r>
    </w:p>
    <w:p w14:paraId="69427C48" w14:textId="200B59D8" w:rsidR="006615AF" w:rsidRDefault="00F73A38" w:rsidP="006615AF">
      <w:pPr>
        <w:pStyle w:val="Heading3"/>
        <w:jc w:val="left"/>
        <w:rPr>
          <w:rFonts w:ascii="Arial" w:hAnsi="Arial"/>
          <w:color w:val="5F5F5F"/>
          <w:sz w:val="20"/>
        </w:rPr>
      </w:pPr>
      <w:r w:rsidRPr="00F73A38">
        <w:rPr>
          <w:rFonts w:ascii="Arial" w:hAnsi="Arial"/>
          <w:color w:val="5F5F5F"/>
          <w:sz w:val="20"/>
        </w:rPr>
        <w:t xml:space="preserve">Most classes of antibiotic have shown reduced use compared to 2024. The largest reduction has been seen in </w:t>
      </w:r>
      <w:r w:rsidR="00263EB3">
        <w:rPr>
          <w:rFonts w:ascii="Arial" w:hAnsi="Arial"/>
          <w:color w:val="5F5F5F"/>
          <w:sz w:val="20"/>
        </w:rPr>
        <w:t>t</w:t>
      </w:r>
      <w:r w:rsidRPr="00F73A38">
        <w:rPr>
          <w:rFonts w:ascii="Arial" w:hAnsi="Arial"/>
          <w:color w:val="5F5F5F"/>
          <w:sz w:val="20"/>
        </w:rPr>
        <w:t xml:space="preserve">etracyclines, with a decrease of 4.5mg/PCU. </w:t>
      </w:r>
    </w:p>
    <w:p w14:paraId="34280FD8" w14:textId="3CBE658E" w:rsidR="006615AF" w:rsidRDefault="00F73A38" w:rsidP="006615AF">
      <w:pPr>
        <w:pStyle w:val="Heading3"/>
        <w:jc w:val="left"/>
        <w:rPr>
          <w:rFonts w:ascii="Arial" w:hAnsi="Arial"/>
          <w:color w:val="5F5F5F"/>
          <w:sz w:val="20"/>
        </w:rPr>
      </w:pPr>
      <w:r w:rsidRPr="00F73A38">
        <w:rPr>
          <w:rFonts w:ascii="Arial" w:hAnsi="Arial"/>
          <w:color w:val="5F5F5F"/>
          <w:sz w:val="20"/>
        </w:rPr>
        <w:t>Trimethoprim-</w:t>
      </w:r>
      <w:r w:rsidR="00263EB3">
        <w:rPr>
          <w:rFonts w:ascii="Arial" w:hAnsi="Arial"/>
          <w:color w:val="5F5F5F"/>
          <w:sz w:val="20"/>
        </w:rPr>
        <w:t>s</w:t>
      </w:r>
      <w:r w:rsidRPr="00F73A38">
        <w:rPr>
          <w:rFonts w:ascii="Arial" w:hAnsi="Arial"/>
          <w:color w:val="5F5F5F"/>
          <w:sz w:val="20"/>
        </w:rPr>
        <w:t xml:space="preserve">ulphonamides, </w:t>
      </w:r>
      <w:r w:rsidR="00263EB3">
        <w:rPr>
          <w:rFonts w:ascii="Arial" w:hAnsi="Arial"/>
          <w:color w:val="5F5F5F"/>
          <w:sz w:val="20"/>
        </w:rPr>
        <w:t>a</w:t>
      </w:r>
      <w:r w:rsidRPr="00F73A38">
        <w:rPr>
          <w:rFonts w:ascii="Arial" w:hAnsi="Arial"/>
          <w:color w:val="5F5F5F"/>
          <w:sz w:val="20"/>
        </w:rPr>
        <w:t xml:space="preserve">minoglycosides and broad-spectrum </w:t>
      </w:r>
      <w:proofErr w:type="spellStart"/>
      <w:r w:rsidR="00263EB3">
        <w:rPr>
          <w:rFonts w:ascii="Arial" w:hAnsi="Arial"/>
          <w:color w:val="5F5F5F"/>
          <w:sz w:val="20"/>
        </w:rPr>
        <w:t>p</w:t>
      </w:r>
      <w:r w:rsidRPr="00F73A38">
        <w:rPr>
          <w:rFonts w:ascii="Arial" w:hAnsi="Arial"/>
          <w:color w:val="5F5F5F"/>
          <w:sz w:val="20"/>
        </w:rPr>
        <w:t>enicillins</w:t>
      </w:r>
      <w:proofErr w:type="spellEnd"/>
      <w:r w:rsidRPr="00F73A38">
        <w:rPr>
          <w:rFonts w:ascii="Arial" w:hAnsi="Arial"/>
          <w:color w:val="5F5F5F"/>
          <w:sz w:val="20"/>
        </w:rPr>
        <w:t xml:space="preserve"> have each reduced by between 1 and 2 mg/PCU. </w:t>
      </w:r>
    </w:p>
    <w:p w14:paraId="6DC62385" w14:textId="20F3B9C0" w:rsidR="00EB4794" w:rsidRDefault="00F73A38" w:rsidP="006615AF">
      <w:pPr>
        <w:pStyle w:val="Heading3"/>
        <w:jc w:val="left"/>
        <w:rPr>
          <w:rFonts w:ascii="Arial" w:hAnsi="Arial"/>
          <w:color w:val="5F5F5F"/>
          <w:sz w:val="20"/>
        </w:rPr>
      </w:pPr>
      <w:r w:rsidRPr="00F73A38">
        <w:rPr>
          <w:rFonts w:ascii="Arial" w:hAnsi="Arial"/>
          <w:color w:val="5F5F5F"/>
          <w:sz w:val="20"/>
        </w:rPr>
        <w:t xml:space="preserve">Small increases have been recorded in </w:t>
      </w:r>
      <w:r w:rsidR="00263EB3">
        <w:rPr>
          <w:rFonts w:ascii="Arial" w:hAnsi="Arial"/>
          <w:color w:val="5F5F5F"/>
          <w:sz w:val="20"/>
        </w:rPr>
        <w:t>a</w:t>
      </w:r>
      <w:r w:rsidRPr="00F73A38">
        <w:rPr>
          <w:rFonts w:ascii="Arial" w:hAnsi="Arial"/>
          <w:color w:val="5F5F5F"/>
          <w:sz w:val="20"/>
        </w:rPr>
        <w:t xml:space="preserve">mphenicols (0.2mg/PCU) and </w:t>
      </w:r>
      <w:proofErr w:type="spellStart"/>
      <w:r w:rsidR="00263EB3">
        <w:rPr>
          <w:rFonts w:ascii="Arial" w:hAnsi="Arial"/>
          <w:color w:val="5F5F5F"/>
          <w:sz w:val="20"/>
        </w:rPr>
        <w:t>p</w:t>
      </w:r>
      <w:r w:rsidRPr="00F73A38">
        <w:rPr>
          <w:rFonts w:ascii="Arial" w:hAnsi="Arial"/>
          <w:color w:val="5F5F5F"/>
          <w:sz w:val="20"/>
        </w:rPr>
        <w:t>leuromutilins</w:t>
      </w:r>
      <w:proofErr w:type="spellEnd"/>
      <w:r w:rsidRPr="00F73A38">
        <w:rPr>
          <w:rFonts w:ascii="Arial" w:hAnsi="Arial"/>
          <w:color w:val="5F5F5F"/>
          <w:sz w:val="20"/>
        </w:rPr>
        <w:t xml:space="preserve"> (0.9mg/PCU).</w:t>
      </w:r>
    </w:p>
    <w:p w14:paraId="755FAFA9" w14:textId="77777777" w:rsidR="000E462D" w:rsidRDefault="000E462D" w:rsidP="006615AF">
      <w:pPr>
        <w:pStyle w:val="Heading3"/>
        <w:jc w:val="left"/>
        <w:rPr>
          <w:rFonts w:ascii="Arial" w:hAnsi="Arial"/>
          <w:color w:val="5F5F5F"/>
          <w:sz w:val="20"/>
        </w:rPr>
      </w:pPr>
    </w:p>
    <w:p w14:paraId="03202B14" w14:textId="77777777" w:rsidR="000E462D" w:rsidRDefault="000E462D" w:rsidP="006615AF">
      <w:pPr>
        <w:pStyle w:val="Heading3"/>
        <w:jc w:val="left"/>
        <w:rPr>
          <w:rFonts w:ascii="Arial" w:hAnsi="Arial"/>
          <w:color w:val="5F5F5F"/>
          <w:sz w:val="20"/>
        </w:rPr>
      </w:pPr>
    </w:p>
    <w:p w14:paraId="0C977FB8" w14:textId="77777777" w:rsidR="000E462D" w:rsidRDefault="000E462D" w:rsidP="006615AF">
      <w:pPr>
        <w:pStyle w:val="Heading3"/>
        <w:jc w:val="left"/>
        <w:rPr>
          <w:rFonts w:ascii="Arial" w:hAnsi="Arial"/>
          <w:color w:val="5F5F5F"/>
          <w:sz w:val="20"/>
        </w:rPr>
      </w:pPr>
    </w:p>
    <w:p w14:paraId="6D674E7F" w14:textId="2145F238" w:rsidR="00F73A38" w:rsidRDefault="00F73A38" w:rsidP="00F73A38">
      <w:pPr>
        <w:pStyle w:val="Heading3"/>
        <w:jc w:val="left"/>
        <w:rPr>
          <w:rFonts w:ascii="Arial" w:hAnsi="Arial"/>
          <w:b/>
          <w:bCs/>
          <w:color w:val="5F5F5F"/>
          <w:sz w:val="20"/>
        </w:rPr>
      </w:pPr>
      <w:r w:rsidRPr="005D1C47">
        <w:rPr>
          <w:rFonts w:ascii="Arial" w:hAnsi="Arial"/>
          <w:b/>
          <w:bCs/>
          <w:color w:val="5F5F5F"/>
          <w:sz w:val="20"/>
        </w:rPr>
        <w:lastRenderedPageBreak/>
        <w:t xml:space="preserve">Figure </w:t>
      </w:r>
      <w:r>
        <w:rPr>
          <w:rFonts w:ascii="Arial" w:hAnsi="Arial"/>
          <w:b/>
          <w:bCs/>
          <w:color w:val="5F5F5F"/>
          <w:sz w:val="20"/>
        </w:rPr>
        <w:t>3</w:t>
      </w:r>
      <w:r w:rsidRPr="005D1C47">
        <w:rPr>
          <w:rFonts w:ascii="Arial" w:hAnsi="Arial"/>
          <w:b/>
          <w:bCs/>
          <w:color w:val="5F5F5F"/>
          <w:sz w:val="20"/>
        </w:rPr>
        <w:t xml:space="preserve">. </w:t>
      </w:r>
      <w:r w:rsidR="00520B71">
        <w:rPr>
          <w:rFonts w:ascii="Arial" w:hAnsi="Arial"/>
          <w:b/>
          <w:bCs/>
          <w:color w:val="5F5F5F"/>
          <w:sz w:val="20"/>
        </w:rPr>
        <w:t xml:space="preserve">Pie chart of </w:t>
      </w:r>
      <w:r w:rsidR="00573E6C">
        <w:rPr>
          <w:rFonts w:ascii="Arial" w:hAnsi="Arial"/>
          <w:b/>
          <w:bCs/>
          <w:color w:val="5F5F5F"/>
          <w:sz w:val="20"/>
        </w:rPr>
        <w:t>2025 antibiotic usage in pigs recorded in</w:t>
      </w:r>
      <w:r w:rsidR="00BE2CE2">
        <w:rPr>
          <w:rFonts w:ascii="Arial" w:hAnsi="Arial"/>
          <w:b/>
          <w:bCs/>
          <w:color w:val="5F5F5F"/>
          <w:sz w:val="20"/>
        </w:rPr>
        <w:t xml:space="preserve"> </w:t>
      </w:r>
      <w:r w:rsidR="00573E6C">
        <w:rPr>
          <w:rFonts w:ascii="Arial" w:hAnsi="Arial"/>
          <w:b/>
          <w:bCs/>
          <w:color w:val="5F5F5F"/>
          <w:sz w:val="20"/>
        </w:rPr>
        <w:t xml:space="preserve">eMB by </w:t>
      </w:r>
      <w:r w:rsidR="00BE2CE2">
        <w:rPr>
          <w:rFonts w:ascii="Arial" w:hAnsi="Arial"/>
          <w:b/>
          <w:bCs/>
          <w:color w:val="5F5F5F"/>
          <w:sz w:val="20"/>
        </w:rPr>
        <w:t>class</w:t>
      </w:r>
    </w:p>
    <w:p w14:paraId="71E287FD" w14:textId="5CD7F83F" w:rsidR="00C34A34" w:rsidRDefault="00C34A34" w:rsidP="00F73A38">
      <w:pPr>
        <w:pStyle w:val="Heading3"/>
        <w:jc w:val="left"/>
        <w:rPr>
          <w:rFonts w:ascii="Arial" w:hAnsi="Arial"/>
          <w:b/>
          <w:bCs/>
          <w:color w:val="5F5F5F"/>
          <w:sz w:val="20"/>
        </w:rPr>
      </w:pPr>
      <w:r w:rsidRPr="00C34A34">
        <w:rPr>
          <w:rFonts w:ascii="Arial" w:hAnsi="Arial"/>
          <w:b/>
          <w:bCs/>
          <w:noProof/>
          <w:color w:val="5F5F5F"/>
          <w:sz w:val="20"/>
        </w:rPr>
        <w:drawing>
          <wp:inline distT="0" distB="0" distL="0" distR="0" wp14:anchorId="645B7DA0" wp14:editId="6AEDF929">
            <wp:extent cx="5731510" cy="4878705"/>
            <wp:effectExtent l="0" t="0" r="2540" b="0"/>
            <wp:docPr id="18942203" name="Picture 1" descr="Pie chart showing antibiotic usage in pigs by class for 2025, with proportions labelled for each category. Tetracyclines represent the largest share at 27%, followed by broad spectrum penicillins at 18%, trimethoprim-sulphonamides at 14%, aminoglycosides at 13%, and macrolides at 11%, with smaller proportions for other classes including lincosamides, pleuromutilins, amphenicols and narrow spectrum penicill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203" name="Picture 1" descr="Pie chart showing antibiotic usage in pigs by class for 2025, with proportions labelled for each category. Tetracyclines represent the largest share at 27%, followed by broad spectrum penicillins at 18%, trimethoprim-sulphonamides at 14%, aminoglycosides at 13%, and macrolides at 11%, with smaller proportions for other classes including lincosamides, pleuromutilins, amphenicols and narrow spectrum penicillins."/>
                    <pic:cNvPicPr/>
                  </pic:nvPicPr>
                  <pic:blipFill rotWithShape="1">
                    <a:blip r:embed="rId16"/>
                    <a:srcRect t="4595"/>
                    <a:stretch>
                      <a:fillRect/>
                    </a:stretch>
                  </pic:blipFill>
                  <pic:spPr bwMode="auto">
                    <a:xfrm>
                      <a:off x="0" y="0"/>
                      <a:ext cx="5731510" cy="4878705"/>
                    </a:xfrm>
                    <a:prstGeom prst="rect">
                      <a:avLst/>
                    </a:prstGeom>
                    <a:ln>
                      <a:noFill/>
                    </a:ln>
                    <a:extLst>
                      <a:ext uri="{53640926-AAD7-44D8-BBD7-CCE9431645EC}">
                        <a14:shadowObscured xmlns:a14="http://schemas.microsoft.com/office/drawing/2010/main"/>
                      </a:ext>
                    </a:extLst>
                  </pic:spPr>
                </pic:pic>
              </a:graphicData>
            </a:graphic>
          </wp:inline>
        </w:drawing>
      </w:r>
    </w:p>
    <w:p w14:paraId="4D6AA7AA" w14:textId="74D55CFC" w:rsidR="00A92A04" w:rsidRPr="0064354F" w:rsidRDefault="00A92A04" w:rsidP="00F73A38">
      <w:pPr>
        <w:pStyle w:val="Heading3"/>
        <w:jc w:val="left"/>
        <w:rPr>
          <w:rFonts w:ascii="Arial" w:hAnsi="Arial"/>
          <w:color w:val="5F5F5F"/>
          <w:sz w:val="20"/>
        </w:rPr>
      </w:pPr>
      <w:r w:rsidRPr="0064354F">
        <w:rPr>
          <w:rFonts w:ascii="Arial" w:hAnsi="Arial"/>
          <w:color w:val="5F5F5F"/>
          <w:sz w:val="20"/>
        </w:rPr>
        <w:t>Source: eMB, AHDB</w:t>
      </w:r>
    </w:p>
    <w:p w14:paraId="1244289D" w14:textId="2A64CD22" w:rsidR="00732C05" w:rsidRDefault="00732C05" w:rsidP="00732C05">
      <w:pPr>
        <w:pStyle w:val="Heading3"/>
        <w:jc w:val="left"/>
        <w:rPr>
          <w:rFonts w:ascii="Arial" w:hAnsi="Arial"/>
          <w:color w:val="5F5F5F"/>
          <w:sz w:val="20"/>
        </w:rPr>
      </w:pPr>
      <w:r w:rsidRPr="0028779F">
        <w:rPr>
          <w:rFonts w:ascii="Arial" w:hAnsi="Arial"/>
          <w:color w:val="5F5F5F"/>
          <w:sz w:val="20"/>
        </w:rPr>
        <w:t>The HP-CIAs segment accounts for 0.01% of all antibiotics used in pigs in 2025</w:t>
      </w:r>
      <w:r w:rsidR="00197423">
        <w:rPr>
          <w:rFonts w:ascii="Arial" w:hAnsi="Arial"/>
          <w:color w:val="5F5F5F"/>
          <w:sz w:val="20"/>
        </w:rPr>
        <w:t xml:space="preserve"> (Figure</w:t>
      </w:r>
      <w:r w:rsidR="00067F03">
        <w:rPr>
          <w:rFonts w:ascii="Arial" w:hAnsi="Arial"/>
          <w:color w:val="5F5F5F"/>
          <w:sz w:val="20"/>
        </w:rPr>
        <w:t xml:space="preserve"> </w:t>
      </w:r>
      <w:r w:rsidR="00197423">
        <w:rPr>
          <w:rFonts w:ascii="Arial" w:hAnsi="Arial"/>
          <w:color w:val="5F5F5F"/>
          <w:sz w:val="20"/>
        </w:rPr>
        <w:t>3)</w:t>
      </w:r>
      <w:r w:rsidRPr="0028779F">
        <w:rPr>
          <w:rFonts w:ascii="Arial" w:hAnsi="Arial"/>
          <w:color w:val="5F5F5F"/>
          <w:sz w:val="20"/>
        </w:rPr>
        <w:t>.</w:t>
      </w:r>
    </w:p>
    <w:p w14:paraId="5804B3D6" w14:textId="77777777" w:rsidR="00C97C7C" w:rsidRDefault="00C97C7C" w:rsidP="00732C05">
      <w:pPr>
        <w:pStyle w:val="Heading3"/>
        <w:jc w:val="left"/>
        <w:rPr>
          <w:rFonts w:ascii="Arial" w:hAnsi="Arial"/>
          <w:color w:val="5F5F5F"/>
          <w:sz w:val="20"/>
        </w:rPr>
      </w:pPr>
    </w:p>
    <w:p w14:paraId="7140F40D" w14:textId="77777777" w:rsidR="000E462D" w:rsidRDefault="000E462D" w:rsidP="00732C05">
      <w:pPr>
        <w:pStyle w:val="Heading3"/>
        <w:jc w:val="left"/>
        <w:rPr>
          <w:rFonts w:ascii="Arial" w:hAnsi="Arial"/>
          <w:color w:val="5F5F5F"/>
          <w:sz w:val="20"/>
        </w:rPr>
      </w:pPr>
    </w:p>
    <w:p w14:paraId="10B6F5FD" w14:textId="77777777" w:rsidR="000E462D" w:rsidRDefault="000E462D" w:rsidP="00732C05">
      <w:pPr>
        <w:pStyle w:val="Heading3"/>
        <w:jc w:val="left"/>
        <w:rPr>
          <w:rFonts w:ascii="Arial" w:hAnsi="Arial"/>
          <w:color w:val="5F5F5F"/>
          <w:sz w:val="20"/>
        </w:rPr>
      </w:pPr>
    </w:p>
    <w:p w14:paraId="005F0A98" w14:textId="77777777" w:rsidR="000E462D" w:rsidRDefault="000E462D" w:rsidP="00732C05">
      <w:pPr>
        <w:pStyle w:val="Heading3"/>
        <w:jc w:val="left"/>
        <w:rPr>
          <w:rFonts w:ascii="Arial" w:hAnsi="Arial"/>
          <w:color w:val="5F5F5F"/>
          <w:sz w:val="20"/>
        </w:rPr>
      </w:pPr>
    </w:p>
    <w:p w14:paraId="1B4A979A" w14:textId="2051E1AE" w:rsidR="005D1C47" w:rsidRPr="00EB4794" w:rsidRDefault="005D1C47" w:rsidP="00EB4794">
      <w:pPr>
        <w:pStyle w:val="Heading3"/>
        <w:jc w:val="left"/>
        <w:rPr>
          <w:iCs/>
          <w:sz w:val="40"/>
          <w:szCs w:val="36"/>
        </w:rPr>
      </w:pPr>
      <w:r w:rsidRPr="000B5B6B">
        <w:rPr>
          <w:rStyle w:val="Heading2Char"/>
        </w:rPr>
        <w:t>Contact us</w:t>
      </w:r>
    </w:p>
    <w:p w14:paraId="17A6AE43" w14:textId="77777777" w:rsidR="005D1C47" w:rsidRDefault="005D1C47" w:rsidP="005D1C47">
      <w:r w:rsidRPr="00B05791">
        <w:t xml:space="preserve">AHDB, Siskin Parkway East, Middlemarch Business Park, Coventry CV3 4PE </w:t>
      </w:r>
      <w:r w:rsidRPr="00B05791">
        <w:tab/>
      </w:r>
    </w:p>
    <w:p w14:paraId="393FF5E1" w14:textId="592617F9" w:rsidR="00C93514" w:rsidRDefault="005D1C47" w:rsidP="00534A9E">
      <w:r w:rsidRPr="00B05791">
        <w:t xml:space="preserve">Email: </w:t>
      </w:r>
      <w:hyperlink r:id="rId17" w:history="1">
        <w:r w:rsidR="00DD6278" w:rsidRPr="007E788B">
          <w:rPr>
            <w:rStyle w:val="Hyperlink"/>
          </w:rPr>
          <w:t>info@ahdb.org.uk</w:t>
        </w:r>
      </w:hyperlink>
    </w:p>
    <w:sectPr w:rsidR="00C93514" w:rsidSect="00525FA9">
      <w:headerReference w:type="even" r:id="rId18"/>
      <w:headerReference w:type="default" r:id="rId19"/>
      <w:footerReference w:type="even" r:id="rId20"/>
      <w:footerReference w:type="default" r:id="rId21"/>
      <w:headerReference w:type="first" r:id="rId22"/>
      <w:pgSz w:w="11906" w:h="16838"/>
      <w:pgMar w:top="1440" w:right="1440" w:bottom="1440"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653FE" w14:textId="77777777" w:rsidR="006C4D92" w:rsidRDefault="006C4D92" w:rsidP="00F86FBC">
      <w:r>
        <w:separator/>
      </w:r>
    </w:p>
    <w:p w14:paraId="3AC1099F" w14:textId="77777777" w:rsidR="006C4D92" w:rsidRDefault="006C4D92"/>
  </w:endnote>
  <w:endnote w:type="continuationSeparator" w:id="0">
    <w:p w14:paraId="432F0894" w14:textId="77777777" w:rsidR="006C4D92" w:rsidRDefault="006C4D92" w:rsidP="00F86FBC">
      <w:r>
        <w:continuationSeparator/>
      </w:r>
    </w:p>
    <w:p w14:paraId="7E68E4E3" w14:textId="77777777" w:rsidR="006C4D92" w:rsidRDefault="006C4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altName w:val="Ubuntu Medium"/>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7D71CE2C"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FF63C6" w14:textId="77777777" w:rsidR="00F41E71" w:rsidRDefault="00F41E71" w:rsidP="00F86FBC">
    <w:pPr>
      <w:pStyle w:val="Footer"/>
    </w:pPr>
  </w:p>
  <w:p w14:paraId="0DA36B17"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565B" w14:textId="228FF5E5" w:rsidR="00B05791" w:rsidRPr="00B05791" w:rsidRDefault="6613328E" w:rsidP="6613328E">
    <w:pPr>
      <w:pStyle w:val="Footer"/>
      <w:tabs>
        <w:tab w:val="clear" w:pos="4513"/>
        <w:tab w:val="center" w:pos="4395"/>
      </w:tabs>
      <w:rPr>
        <w:sz w:val="20"/>
      </w:rPr>
    </w:pPr>
    <w:r w:rsidRPr="6613328E">
      <w:rPr>
        <w:sz w:val="20"/>
      </w:rPr>
      <w:t xml:space="preserve">Page </w:t>
    </w:r>
    <w:r w:rsidR="00F41E71" w:rsidRPr="6613328E">
      <w:rPr>
        <w:sz w:val="20"/>
      </w:rPr>
      <w:fldChar w:fldCharType="begin"/>
    </w:r>
    <w:r w:rsidR="00F41E71" w:rsidRPr="6613328E">
      <w:rPr>
        <w:sz w:val="24"/>
        <w:szCs w:val="24"/>
      </w:rPr>
      <w:instrText xml:space="preserve"> PAGE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of </w:t>
    </w:r>
    <w:r w:rsidR="00F41E71" w:rsidRPr="6613328E">
      <w:rPr>
        <w:sz w:val="20"/>
      </w:rPr>
      <w:fldChar w:fldCharType="begin"/>
    </w:r>
    <w:r w:rsidR="00F41E71" w:rsidRPr="6613328E">
      <w:rPr>
        <w:sz w:val="24"/>
        <w:szCs w:val="24"/>
      </w:rPr>
      <w:instrText xml:space="preserve"> NUMPAGES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w:t>
    </w:r>
    <w:r w:rsidR="00F41E71">
      <w:tab/>
    </w:r>
    <w:r w:rsidRPr="6613328E">
      <w:rPr>
        <w:rFonts w:ascii="Symbol" w:eastAsia="Symbol" w:hAnsi="Symbol" w:cs="Symbol"/>
        <w:sz w:val="20"/>
      </w:rPr>
      <w:t>ã</w:t>
    </w:r>
    <w:r w:rsidRPr="6613328E">
      <w:rPr>
        <w:sz w:val="20"/>
      </w:rPr>
      <w:t xml:space="preserve"> Agriculture and Horticulture Development Board </w:t>
    </w:r>
    <w:r w:rsidR="00F41E71" w:rsidRPr="6613328E">
      <w:rPr>
        <w:sz w:val="24"/>
        <w:szCs w:val="24"/>
      </w:rPr>
      <w:fldChar w:fldCharType="begin"/>
    </w:r>
    <w:r w:rsidR="00F41E71" w:rsidRPr="6613328E">
      <w:rPr>
        <w:sz w:val="24"/>
        <w:szCs w:val="24"/>
      </w:rPr>
      <w:instrText xml:space="preserve"> DATE \@ "yyyy" \* MERGEFORMAT </w:instrText>
    </w:r>
    <w:r w:rsidR="00F41E71" w:rsidRPr="6613328E">
      <w:rPr>
        <w:sz w:val="24"/>
        <w:szCs w:val="24"/>
      </w:rPr>
      <w:fldChar w:fldCharType="separate"/>
    </w:r>
    <w:r w:rsidR="00A60BC2" w:rsidRPr="00A60BC2">
      <w:rPr>
        <w:noProof/>
        <w:sz w:val="20"/>
      </w:rPr>
      <w:t>2026</w:t>
    </w:r>
    <w:r w:rsidR="00F41E71" w:rsidRPr="6613328E">
      <w:rPr>
        <w:sz w:val="24"/>
        <w:szCs w:val="24"/>
      </w:rPr>
      <w:fldChar w:fldCharType="end"/>
    </w:r>
    <w:r w:rsidRPr="6613328E">
      <w:rPr>
        <w:sz w:val="20"/>
      </w:rPr>
      <w:t>. All rights reserved.</w:t>
    </w:r>
  </w:p>
  <w:p w14:paraId="5BDDA398" w14:textId="77777777" w:rsidR="00F41E71" w:rsidRPr="00B05791" w:rsidRDefault="00F41E71" w:rsidP="00B05791">
    <w:pPr>
      <w:pStyle w:val="Footer"/>
      <w:tabs>
        <w:tab w:val="center" w:pos="4395"/>
      </w:tabs>
      <w:rPr>
        <w:sz w:val="24"/>
        <w:szCs w:val="24"/>
      </w:rPr>
    </w:pPr>
  </w:p>
  <w:p w14:paraId="60D9E372" w14:textId="77777777" w:rsidR="00F2259C" w:rsidRDefault="00F2259C" w:rsidP="00F86FBC">
    <w:pPr>
      <w:pStyle w:val="Footer"/>
    </w:pPr>
  </w:p>
  <w:p w14:paraId="21F77577"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FBC9" w14:textId="77777777" w:rsidR="006C4D92" w:rsidRDefault="006C4D92" w:rsidP="00F86FBC">
      <w:r>
        <w:separator/>
      </w:r>
    </w:p>
    <w:p w14:paraId="7D332C33" w14:textId="77777777" w:rsidR="006C4D92" w:rsidRDefault="006C4D92"/>
  </w:footnote>
  <w:footnote w:type="continuationSeparator" w:id="0">
    <w:p w14:paraId="6C844244" w14:textId="77777777" w:rsidR="006C4D92" w:rsidRDefault="006C4D92" w:rsidP="00F86FBC">
      <w:r>
        <w:continuationSeparator/>
      </w:r>
    </w:p>
    <w:p w14:paraId="28EF0EA9" w14:textId="77777777" w:rsidR="006C4D92" w:rsidRDefault="006C4D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871B" w14:textId="4ED04F38" w:rsidR="00EB4794" w:rsidRDefault="00EB4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4CA6" w14:textId="1391A58C" w:rsidR="005D76FD" w:rsidRDefault="00C45208" w:rsidP="00F86FBC">
    <w:pPr>
      <w:pStyle w:val="Header"/>
    </w:pPr>
    <w:r w:rsidRPr="007A3454">
      <w:rPr>
        <w:rStyle w:val="Heading2Char"/>
        <w:rFonts w:eastAsiaTheme="minorHAnsi"/>
        <w:noProof/>
        <w:lang w:val="en-US" w:eastAsia="en-US"/>
      </w:rPr>
      <w:drawing>
        <wp:anchor distT="0" distB="0" distL="114300" distR="114300" simplePos="0" relativeHeight="251658240" behindDoc="0" locked="0" layoutInCell="1" allowOverlap="1" wp14:anchorId="609247F8" wp14:editId="01A6F296">
          <wp:simplePos x="0" y="0"/>
          <wp:positionH relativeFrom="column">
            <wp:posOffset>5051002</wp:posOffset>
          </wp:positionH>
          <wp:positionV relativeFrom="paragraph">
            <wp:posOffset>9525</wp:posOffset>
          </wp:positionV>
          <wp:extent cx="1259840" cy="546100"/>
          <wp:effectExtent l="0" t="0" r="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14:paraId="1809370D" w14:textId="77777777" w:rsidR="005D76FD" w:rsidRDefault="005D76FD" w:rsidP="00F86FBC">
    <w:pPr>
      <w:pStyle w:val="Header"/>
    </w:pPr>
  </w:p>
  <w:p w14:paraId="3491B0C9" w14:textId="77777777" w:rsidR="00783013" w:rsidRDefault="007830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C0C4" w14:textId="5075B292" w:rsidR="00EB4794" w:rsidRDefault="00EB4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pt;height:203.5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7D4E9336"/>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9047BA"/>
    <w:multiLevelType w:val="hybridMultilevel"/>
    <w:tmpl w:val="B6880350"/>
    <w:lvl w:ilvl="0" w:tplc="388002D0">
      <w:start w:val="1"/>
      <w:numFmt w:val="bullet"/>
      <w:pStyle w:val="Bullet"/>
      <w:lvlText w:val=""/>
      <w:lvlJc w:val="left"/>
      <w:pPr>
        <w:ind w:left="748" w:hanging="360"/>
      </w:pPr>
      <w:rPr>
        <w:rFonts w:ascii="Symbol" w:hAnsi="Symbol" w:hint="default"/>
        <w:color w:val="0090D4"/>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4"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5" w15:restartNumberingAfterBreak="0">
    <w:nsid w:val="09095FE0"/>
    <w:multiLevelType w:val="hybridMultilevel"/>
    <w:tmpl w:val="D6FE6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7"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8"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7FD6A29"/>
    <w:multiLevelType w:val="hybridMultilevel"/>
    <w:tmpl w:val="51E427DC"/>
    <w:lvl w:ilvl="0" w:tplc="8E66677C">
      <w:start w:val="1"/>
      <w:numFmt w:val="decimal"/>
      <w:lvlText w:val="%1."/>
      <w:lvlJc w:val="left"/>
      <w:pPr>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2"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7C60C4A"/>
    <w:multiLevelType w:val="hybridMultilevel"/>
    <w:tmpl w:val="44A83B1A"/>
    <w:lvl w:ilvl="0" w:tplc="AEB01456">
      <w:start w:val="1"/>
      <w:numFmt w:val="decimal"/>
      <w:pStyle w:val="List"/>
      <w:lvlText w:val="%1."/>
      <w:lvlJc w:val="left"/>
      <w:pPr>
        <w:ind w:left="1286" w:hanging="360"/>
      </w:pPr>
      <w:rPr>
        <w:rFonts w:ascii="Arial" w:hAnsi="Arial" w:hint="default"/>
        <w:b w:val="0"/>
        <w:i w:val="0"/>
        <w:color w:val="4D4D4C"/>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26"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7"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A02F08"/>
    <w:multiLevelType w:val="hybridMultilevel"/>
    <w:tmpl w:val="0430DD7A"/>
    <w:lvl w:ilvl="0" w:tplc="5380AB6C">
      <w:start w:val="1"/>
      <w:numFmt w:val="bullet"/>
      <w:lvlText w:val=""/>
      <w:lvlJc w:val="left"/>
      <w:pPr>
        <w:ind w:left="1080" w:hanging="360"/>
      </w:pPr>
      <w:rPr>
        <w:rFonts w:ascii="Symbol" w:hAnsi="Symbol"/>
      </w:rPr>
    </w:lvl>
    <w:lvl w:ilvl="1" w:tplc="F8A442EC">
      <w:start w:val="1"/>
      <w:numFmt w:val="bullet"/>
      <w:lvlText w:val=""/>
      <w:lvlJc w:val="left"/>
      <w:pPr>
        <w:ind w:left="1080" w:hanging="360"/>
      </w:pPr>
      <w:rPr>
        <w:rFonts w:ascii="Symbol" w:hAnsi="Symbol"/>
      </w:rPr>
    </w:lvl>
    <w:lvl w:ilvl="2" w:tplc="AD229654">
      <w:start w:val="1"/>
      <w:numFmt w:val="bullet"/>
      <w:lvlText w:val=""/>
      <w:lvlJc w:val="left"/>
      <w:pPr>
        <w:ind w:left="1080" w:hanging="360"/>
      </w:pPr>
      <w:rPr>
        <w:rFonts w:ascii="Symbol" w:hAnsi="Symbol"/>
      </w:rPr>
    </w:lvl>
    <w:lvl w:ilvl="3" w:tplc="ACEA1F40">
      <w:start w:val="1"/>
      <w:numFmt w:val="bullet"/>
      <w:lvlText w:val=""/>
      <w:lvlJc w:val="left"/>
      <w:pPr>
        <w:ind w:left="1080" w:hanging="360"/>
      </w:pPr>
      <w:rPr>
        <w:rFonts w:ascii="Symbol" w:hAnsi="Symbol"/>
      </w:rPr>
    </w:lvl>
    <w:lvl w:ilvl="4" w:tplc="28ACAEEC">
      <w:start w:val="1"/>
      <w:numFmt w:val="bullet"/>
      <w:lvlText w:val=""/>
      <w:lvlJc w:val="left"/>
      <w:pPr>
        <w:ind w:left="1080" w:hanging="360"/>
      </w:pPr>
      <w:rPr>
        <w:rFonts w:ascii="Symbol" w:hAnsi="Symbol"/>
      </w:rPr>
    </w:lvl>
    <w:lvl w:ilvl="5" w:tplc="476A4310">
      <w:start w:val="1"/>
      <w:numFmt w:val="bullet"/>
      <w:lvlText w:val=""/>
      <w:lvlJc w:val="left"/>
      <w:pPr>
        <w:ind w:left="1080" w:hanging="360"/>
      </w:pPr>
      <w:rPr>
        <w:rFonts w:ascii="Symbol" w:hAnsi="Symbol"/>
      </w:rPr>
    </w:lvl>
    <w:lvl w:ilvl="6" w:tplc="1E66A270">
      <w:start w:val="1"/>
      <w:numFmt w:val="bullet"/>
      <w:lvlText w:val=""/>
      <w:lvlJc w:val="left"/>
      <w:pPr>
        <w:ind w:left="1080" w:hanging="360"/>
      </w:pPr>
      <w:rPr>
        <w:rFonts w:ascii="Symbol" w:hAnsi="Symbol"/>
      </w:rPr>
    </w:lvl>
    <w:lvl w:ilvl="7" w:tplc="19900B68">
      <w:start w:val="1"/>
      <w:numFmt w:val="bullet"/>
      <w:lvlText w:val=""/>
      <w:lvlJc w:val="left"/>
      <w:pPr>
        <w:ind w:left="1080" w:hanging="360"/>
      </w:pPr>
      <w:rPr>
        <w:rFonts w:ascii="Symbol" w:hAnsi="Symbol"/>
      </w:rPr>
    </w:lvl>
    <w:lvl w:ilvl="8" w:tplc="FC70EE02">
      <w:start w:val="1"/>
      <w:numFmt w:val="bullet"/>
      <w:lvlText w:val=""/>
      <w:lvlJc w:val="left"/>
      <w:pPr>
        <w:ind w:left="1080" w:hanging="360"/>
      </w:pPr>
      <w:rPr>
        <w:rFonts w:ascii="Symbol" w:hAnsi="Symbol"/>
      </w:rPr>
    </w:lvl>
  </w:abstractNum>
  <w:abstractNum w:abstractNumId="31" w15:restartNumberingAfterBreak="0">
    <w:nsid w:val="4FFE0409"/>
    <w:multiLevelType w:val="hybridMultilevel"/>
    <w:tmpl w:val="EE82708C"/>
    <w:lvl w:ilvl="0" w:tplc="48320D2A">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2"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3"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A12399F"/>
    <w:multiLevelType w:val="hybridMultilevel"/>
    <w:tmpl w:val="AA283C1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760E88"/>
    <w:multiLevelType w:val="hybridMultilevel"/>
    <w:tmpl w:val="6448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614337"/>
    <w:multiLevelType w:val="multilevel"/>
    <w:tmpl w:val="0809001D"/>
    <w:numStyleLink w:val="Bulletpoints"/>
  </w:abstractNum>
  <w:abstractNum w:abstractNumId="39" w15:restartNumberingAfterBreak="0">
    <w:nsid w:val="60637560"/>
    <w:multiLevelType w:val="multilevel"/>
    <w:tmpl w:val="0809001D"/>
    <w:styleLink w:val="Bulletpoints"/>
    <w:lvl w:ilvl="0">
      <w:start w:val="1"/>
      <w:numFmt w:val="bullet"/>
      <w:lvlText w:val="□"/>
      <w:lvlJc w:val="left"/>
      <w:pPr>
        <w:ind w:left="360" w:hanging="360"/>
      </w:pPr>
      <w:rPr>
        <w:rFonts w:ascii="Arial" w:hAnsi="Arial" w:hint="default"/>
        <w:color w:val="0082CA"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094278F"/>
    <w:multiLevelType w:val="hybridMultilevel"/>
    <w:tmpl w:val="D3AE3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42" w15:restartNumberingAfterBreak="0">
    <w:nsid w:val="79576316"/>
    <w:multiLevelType w:val="hybridMultilevel"/>
    <w:tmpl w:val="26724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53938">
    <w:abstractNumId w:val="27"/>
  </w:num>
  <w:num w:numId="2" w16cid:durableId="440146533">
    <w:abstractNumId w:val="0"/>
  </w:num>
  <w:num w:numId="3" w16cid:durableId="2051806794">
    <w:abstractNumId w:val="19"/>
  </w:num>
  <w:num w:numId="4" w16cid:durableId="1476675530">
    <w:abstractNumId w:val="33"/>
  </w:num>
  <w:num w:numId="5" w16cid:durableId="1114057574">
    <w:abstractNumId w:val="35"/>
  </w:num>
  <w:num w:numId="6" w16cid:durableId="1979526830">
    <w:abstractNumId w:val="23"/>
  </w:num>
  <w:num w:numId="7" w16cid:durableId="686911828">
    <w:abstractNumId w:val="22"/>
  </w:num>
  <w:num w:numId="8" w16cid:durableId="1088189810">
    <w:abstractNumId w:val="18"/>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28"/>
  </w:num>
  <w:num w:numId="22" w16cid:durableId="669450329">
    <w:abstractNumId w:val="26"/>
  </w:num>
  <w:num w:numId="23" w16cid:durableId="1919287998">
    <w:abstractNumId w:val="31"/>
  </w:num>
  <w:num w:numId="24" w16cid:durableId="2006857881">
    <w:abstractNumId w:val="20"/>
  </w:num>
  <w:num w:numId="25" w16cid:durableId="1574075096">
    <w:abstractNumId w:val="21"/>
  </w:num>
  <w:num w:numId="26" w16cid:durableId="264920688">
    <w:abstractNumId w:val="16"/>
  </w:num>
  <w:num w:numId="27" w16cid:durableId="1996297387">
    <w:abstractNumId w:val="29"/>
  </w:num>
  <w:num w:numId="28" w16cid:durableId="495390249">
    <w:abstractNumId w:val="24"/>
  </w:num>
  <w:num w:numId="29" w16cid:durableId="759790617">
    <w:abstractNumId w:val="20"/>
    <w:lvlOverride w:ilvl="0">
      <w:startOverride w:val="1"/>
    </w:lvlOverride>
  </w:num>
  <w:num w:numId="30" w16cid:durableId="1368289204">
    <w:abstractNumId w:val="34"/>
  </w:num>
  <w:num w:numId="31" w16cid:durableId="756832289">
    <w:abstractNumId w:val="14"/>
  </w:num>
  <w:num w:numId="32" w16cid:durableId="2110000414">
    <w:abstractNumId w:val="41"/>
  </w:num>
  <w:num w:numId="33" w16cid:durableId="1933931263">
    <w:abstractNumId w:val="17"/>
  </w:num>
  <w:num w:numId="34" w16cid:durableId="1722896190">
    <w:abstractNumId w:val="32"/>
  </w:num>
  <w:num w:numId="35" w16cid:durableId="307898449">
    <w:abstractNumId w:val="39"/>
  </w:num>
  <w:num w:numId="36" w16cid:durableId="1071661329">
    <w:abstractNumId w:val="38"/>
  </w:num>
  <w:num w:numId="37" w16cid:durableId="220093339">
    <w:abstractNumId w:val="13"/>
  </w:num>
  <w:num w:numId="38" w16cid:durableId="114493013">
    <w:abstractNumId w:val="25"/>
  </w:num>
  <w:num w:numId="39" w16cid:durableId="835995575">
    <w:abstractNumId w:val="30"/>
  </w:num>
  <w:num w:numId="40" w16cid:durableId="1574513119">
    <w:abstractNumId w:val="15"/>
  </w:num>
  <w:num w:numId="41" w16cid:durableId="1588726339">
    <w:abstractNumId w:val="40"/>
  </w:num>
  <w:num w:numId="42" w16cid:durableId="1248230009">
    <w:abstractNumId w:val="36"/>
  </w:num>
  <w:num w:numId="43" w16cid:durableId="20203313">
    <w:abstractNumId w:val="37"/>
  </w:num>
  <w:num w:numId="44" w16cid:durableId="206898807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AhJ471qMw+GYBkxtaCRJInePZfXvz0KBUdRbDMIEBJQUWeOrYjscX2cMCWr2ikP+IQYPX7vwrL6dDmVDrT/hA==" w:salt="IK6I/AS6K6pZHixDMKWqf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7BB"/>
    <w:rsid w:val="00005C32"/>
    <w:rsid w:val="00005FBF"/>
    <w:rsid w:val="000073E2"/>
    <w:rsid w:val="00010023"/>
    <w:rsid w:val="000603D9"/>
    <w:rsid w:val="00060BAD"/>
    <w:rsid w:val="0006243B"/>
    <w:rsid w:val="000652BD"/>
    <w:rsid w:val="00067F03"/>
    <w:rsid w:val="0008594E"/>
    <w:rsid w:val="000B5702"/>
    <w:rsid w:val="000B5B6B"/>
    <w:rsid w:val="000C0E78"/>
    <w:rsid w:val="000C0EAA"/>
    <w:rsid w:val="000C5AD0"/>
    <w:rsid w:val="000C6DA1"/>
    <w:rsid w:val="000E0CC6"/>
    <w:rsid w:val="000E18C4"/>
    <w:rsid w:val="000E462D"/>
    <w:rsid w:val="00100AC0"/>
    <w:rsid w:val="00114C48"/>
    <w:rsid w:val="00116649"/>
    <w:rsid w:val="00123796"/>
    <w:rsid w:val="001276F4"/>
    <w:rsid w:val="00132CC2"/>
    <w:rsid w:val="00136CA7"/>
    <w:rsid w:val="001473A2"/>
    <w:rsid w:val="00153558"/>
    <w:rsid w:val="001538E8"/>
    <w:rsid w:val="0015453B"/>
    <w:rsid w:val="00162F15"/>
    <w:rsid w:val="00164680"/>
    <w:rsid w:val="0017068D"/>
    <w:rsid w:val="001757DD"/>
    <w:rsid w:val="001777A4"/>
    <w:rsid w:val="001777FC"/>
    <w:rsid w:val="0018544B"/>
    <w:rsid w:val="001924A6"/>
    <w:rsid w:val="00197423"/>
    <w:rsid w:val="001A77E4"/>
    <w:rsid w:val="001A7B17"/>
    <w:rsid w:val="001B22CB"/>
    <w:rsid w:val="001B46F2"/>
    <w:rsid w:val="001D6397"/>
    <w:rsid w:val="001E675E"/>
    <w:rsid w:val="00204B44"/>
    <w:rsid w:val="00211E92"/>
    <w:rsid w:val="00212980"/>
    <w:rsid w:val="00213709"/>
    <w:rsid w:val="00226D7C"/>
    <w:rsid w:val="00233DA5"/>
    <w:rsid w:val="002341E1"/>
    <w:rsid w:val="002359AA"/>
    <w:rsid w:val="00243D9B"/>
    <w:rsid w:val="00257BDB"/>
    <w:rsid w:val="00263DD9"/>
    <w:rsid w:val="00263EB3"/>
    <w:rsid w:val="0027056A"/>
    <w:rsid w:val="00271B49"/>
    <w:rsid w:val="00271FAB"/>
    <w:rsid w:val="00284707"/>
    <w:rsid w:val="0028731D"/>
    <w:rsid w:val="0028779F"/>
    <w:rsid w:val="00295C29"/>
    <w:rsid w:val="002A271C"/>
    <w:rsid w:val="002A3CB4"/>
    <w:rsid w:val="002B03AF"/>
    <w:rsid w:val="002B53AC"/>
    <w:rsid w:val="002B708D"/>
    <w:rsid w:val="002C46D6"/>
    <w:rsid w:val="002D1274"/>
    <w:rsid w:val="002D17D3"/>
    <w:rsid w:val="002E2161"/>
    <w:rsid w:val="002E4B61"/>
    <w:rsid w:val="002F51FC"/>
    <w:rsid w:val="002F559A"/>
    <w:rsid w:val="002F64F8"/>
    <w:rsid w:val="003016D2"/>
    <w:rsid w:val="00335EAB"/>
    <w:rsid w:val="00336729"/>
    <w:rsid w:val="00336BD3"/>
    <w:rsid w:val="00337D0D"/>
    <w:rsid w:val="0035023E"/>
    <w:rsid w:val="00371A1C"/>
    <w:rsid w:val="0037473F"/>
    <w:rsid w:val="00380A1B"/>
    <w:rsid w:val="00391132"/>
    <w:rsid w:val="003946C5"/>
    <w:rsid w:val="003B4065"/>
    <w:rsid w:val="003B5301"/>
    <w:rsid w:val="003B64B8"/>
    <w:rsid w:val="003D0E26"/>
    <w:rsid w:val="003D0E4F"/>
    <w:rsid w:val="003D10DF"/>
    <w:rsid w:val="003F77C3"/>
    <w:rsid w:val="00412CB8"/>
    <w:rsid w:val="00421214"/>
    <w:rsid w:val="00426604"/>
    <w:rsid w:val="00437579"/>
    <w:rsid w:val="004441FD"/>
    <w:rsid w:val="004556F2"/>
    <w:rsid w:val="00460A64"/>
    <w:rsid w:val="00462AEE"/>
    <w:rsid w:val="00467747"/>
    <w:rsid w:val="00470C05"/>
    <w:rsid w:val="004B6391"/>
    <w:rsid w:val="004C0E9A"/>
    <w:rsid w:val="004D5544"/>
    <w:rsid w:val="004F2A87"/>
    <w:rsid w:val="004F44A9"/>
    <w:rsid w:val="00502D75"/>
    <w:rsid w:val="005073A8"/>
    <w:rsid w:val="00520B71"/>
    <w:rsid w:val="00525FA9"/>
    <w:rsid w:val="0052718A"/>
    <w:rsid w:val="00527301"/>
    <w:rsid w:val="005323C8"/>
    <w:rsid w:val="00534A9E"/>
    <w:rsid w:val="00543EF2"/>
    <w:rsid w:val="00544050"/>
    <w:rsid w:val="00546BC3"/>
    <w:rsid w:val="00573E6C"/>
    <w:rsid w:val="00576BFE"/>
    <w:rsid w:val="00577622"/>
    <w:rsid w:val="005873B4"/>
    <w:rsid w:val="00587400"/>
    <w:rsid w:val="005B23EA"/>
    <w:rsid w:val="005B583C"/>
    <w:rsid w:val="005C0E73"/>
    <w:rsid w:val="005C34BB"/>
    <w:rsid w:val="005D0F5C"/>
    <w:rsid w:val="005D1C47"/>
    <w:rsid w:val="005D67BB"/>
    <w:rsid w:val="005D6F6B"/>
    <w:rsid w:val="005D76FD"/>
    <w:rsid w:val="005F5A75"/>
    <w:rsid w:val="00602D64"/>
    <w:rsid w:val="00610E5D"/>
    <w:rsid w:val="00611317"/>
    <w:rsid w:val="00617A9F"/>
    <w:rsid w:val="00625DDC"/>
    <w:rsid w:val="00632A67"/>
    <w:rsid w:val="0064354F"/>
    <w:rsid w:val="00646411"/>
    <w:rsid w:val="006475C2"/>
    <w:rsid w:val="006615AF"/>
    <w:rsid w:val="006803BA"/>
    <w:rsid w:val="00683160"/>
    <w:rsid w:val="00686074"/>
    <w:rsid w:val="00687A70"/>
    <w:rsid w:val="006A4280"/>
    <w:rsid w:val="006A57A2"/>
    <w:rsid w:val="006B4A4A"/>
    <w:rsid w:val="006C4D92"/>
    <w:rsid w:val="006E46BF"/>
    <w:rsid w:val="006F0812"/>
    <w:rsid w:val="006F4468"/>
    <w:rsid w:val="00705F7A"/>
    <w:rsid w:val="00711C78"/>
    <w:rsid w:val="00724023"/>
    <w:rsid w:val="00725D0B"/>
    <w:rsid w:val="00731F40"/>
    <w:rsid w:val="00732C05"/>
    <w:rsid w:val="00740B5A"/>
    <w:rsid w:val="00753979"/>
    <w:rsid w:val="0076458F"/>
    <w:rsid w:val="0077240B"/>
    <w:rsid w:val="00772A73"/>
    <w:rsid w:val="00773A07"/>
    <w:rsid w:val="00782DC6"/>
    <w:rsid w:val="00783013"/>
    <w:rsid w:val="00797F84"/>
    <w:rsid w:val="007A2E2C"/>
    <w:rsid w:val="007A3454"/>
    <w:rsid w:val="007B0DEE"/>
    <w:rsid w:val="007B0F62"/>
    <w:rsid w:val="007B2DAC"/>
    <w:rsid w:val="007B3824"/>
    <w:rsid w:val="007C23EC"/>
    <w:rsid w:val="007C3170"/>
    <w:rsid w:val="007C68E1"/>
    <w:rsid w:val="007C6A0D"/>
    <w:rsid w:val="007E3B8E"/>
    <w:rsid w:val="007E51BB"/>
    <w:rsid w:val="007F230D"/>
    <w:rsid w:val="00800A52"/>
    <w:rsid w:val="00806AB6"/>
    <w:rsid w:val="00810F59"/>
    <w:rsid w:val="00813430"/>
    <w:rsid w:val="0082080F"/>
    <w:rsid w:val="00820EC5"/>
    <w:rsid w:val="008270F4"/>
    <w:rsid w:val="0083209F"/>
    <w:rsid w:val="00843855"/>
    <w:rsid w:val="00850231"/>
    <w:rsid w:val="00854E1C"/>
    <w:rsid w:val="008550BC"/>
    <w:rsid w:val="008552E0"/>
    <w:rsid w:val="00864C3E"/>
    <w:rsid w:val="008716F7"/>
    <w:rsid w:val="0089180B"/>
    <w:rsid w:val="00896AB5"/>
    <w:rsid w:val="008A0B15"/>
    <w:rsid w:val="008B2A08"/>
    <w:rsid w:val="008B56E8"/>
    <w:rsid w:val="008C7FD4"/>
    <w:rsid w:val="008D3AC1"/>
    <w:rsid w:val="008D6F80"/>
    <w:rsid w:val="008F1D77"/>
    <w:rsid w:val="0090005D"/>
    <w:rsid w:val="009226ED"/>
    <w:rsid w:val="009260A8"/>
    <w:rsid w:val="00926D5E"/>
    <w:rsid w:val="0093214F"/>
    <w:rsid w:val="00932A32"/>
    <w:rsid w:val="00933190"/>
    <w:rsid w:val="00937299"/>
    <w:rsid w:val="009372F3"/>
    <w:rsid w:val="0095095F"/>
    <w:rsid w:val="00954387"/>
    <w:rsid w:val="00955D45"/>
    <w:rsid w:val="00967736"/>
    <w:rsid w:val="009816EB"/>
    <w:rsid w:val="009818CE"/>
    <w:rsid w:val="00984BF1"/>
    <w:rsid w:val="009A2990"/>
    <w:rsid w:val="009C12B8"/>
    <w:rsid w:val="009C31AB"/>
    <w:rsid w:val="009D6691"/>
    <w:rsid w:val="009E755D"/>
    <w:rsid w:val="009F0F8E"/>
    <w:rsid w:val="00A05186"/>
    <w:rsid w:val="00A217A0"/>
    <w:rsid w:val="00A32ADA"/>
    <w:rsid w:val="00A37BFE"/>
    <w:rsid w:val="00A40A3D"/>
    <w:rsid w:val="00A42E0D"/>
    <w:rsid w:val="00A56646"/>
    <w:rsid w:val="00A568CB"/>
    <w:rsid w:val="00A57BA1"/>
    <w:rsid w:val="00A60BC2"/>
    <w:rsid w:val="00A63591"/>
    <w:rsid w:val="00A64366"/>
    <w:rsid w:val="00A72177"/>
    <w:rsid w:val="00A73699"/>
    <w:rsid w:val="00A83647"/>
    <w:rsid w:val="00A92A04"/>
    <w:rsid w:val="00AB2A06"/>
    <w:rsid w:val="00AD4DEA"/>
    <w:rsid w:val="00AE2062"/>
    <w:rsid w:val="00AE388B"/>
    <w:rsid w:val="00AE499B"/>
    <w:rsid w:val="00B008EB"/>
    <w:rsid w:val="00B00C84"/>
    <w:rsid w:val="00B05791"/>
    <w:rsid w:val="00B10F1C"/>
    <w:rsid w:val="00B1575C"/>
    <w:rsid w:val="00B20325"/>
    <w:rsid w:val="00B27019"/>
    <w:rsid w:val="00B27316"/>
    <w:rsid w:val="00B31E1F"/>
    <w:rsid w:val="00B31E28"/>
    <w:rsid w:val="00B360F6"/>
    <w:rsid w:val="00B52380"/>
    <w:rsid w:val="00B533D0"/>
    <w:rsid w:val="00B539D5"/>
    <w:rsid w:val="00B64E15"/>
    <w:rsid w:val="00B7599C"/>
    <w:rsid w:val="00B83C96"/>
    <w:rsid w:val="00BA078F"/>
    <w:rsid w:val="00BB51D6"/>
    <w:rsid w:val="00BC23D2"/>
    <w:rsid w:val="00BD2E1A"/>
    <w:rsid w:val="00BD3204"/>
    <w:rsid w:val="00BE0C7F"/>
    <w:rsid w:val="00BE2CE2"/>
    <w:rsid w:val="00BF495F"/>
    <w:rsid w:val="00BF4B69"/>
    <w:rsid w:val="00BF6837"/>
    <w:rsid w:val="00C100F5"/>
    <w:rsid w:val="00C12BCC"/>
    <w:rsid w:val="00C13308"/>
    <w:rsid w:val="00C30205"/>
    <w:rsid w:val="00C34A34"/>
    <w:rsid w:val="00C43DBA"/>
    <w:rsid w:val="00C45208"/>
    <w:rsid w:val="00C60438"/>
    <w:rsid w:val="00C637AB"/>
    <w:rsid w:val="00C66840"/>
    <w:rsid w:val="00C70315"/>
    <w:rsid w:val="00C752AF"/>
    <w:rsid w:val="00C93514"/>
    <w:rsid w:val="00C97170"/>
    <w:rsid w:val="00C97B8B"/>
    <w:rsid w:val="00C97C7C"/>
    <w:rsid w:val="00C97F90"/>
    <w:rsid w:val="00CA1987"/>
    <w:rsid w:val="00CC1E0C"/>
    <w:rsid w:val="00CC2858"/>
    <w:rsid w:val="00CC57CB"/>
    <w:rsid w:val="00CD18BF"/>
    <w:rsid w:val="00CD566B"/>
    <w:rsid w:val="00CE3627"/>
    <w:rsid w:val="00CE697C"/>
    <w:rsid w:val="00CE6A48"/>
    <w:rsid w:val="00CF470A"/>
    <w:rsid w:val="00D008FE"/>
    <w:rsid w:val="00D06B06"/>
    <w:rsid w:val="00D2272E"/>
    <w:rsid w:val="00D30757"/>
    <w:rsid w:val="00D31460"/>
    <w:rsid w:val="00D31650"/>
    <w:rsid w:val="00D31A71"/>
    <w:rsid w:val="00D37F7C"/>
    <w:rsid w:val="00D42070"/>
    <w:rsid w:val="00D57709"/>
    <w:rsid w:val="00D64991"/>
    <w:rsid w:val="00D8334A"/>
    <w:rsid w:val="00D84826"/>
    <w:rsid w:val="00D8638C"/>
    <w:rsid w:val="00D90A95"/>
    <w:rsid w:val="00DA6ACF"/>
    <w:rsid w:val="00DB2D05"/>
    <w:rsid w:val="00DC1ABF"/>
    <w:rsid w:val="00DD16C6"/>
    <w:rsid w:val="00DD39E2"/>
    <w:rsid w:val="00DD6278"/>
    <w:rsid w:val="00DF2CF2"/>
    <w:rsid w:val="00DF3EAC"/>
    <w:rsid w:val="00DF7ADC"/>
    <w:rsid w:val="00E1795A"/>
    <w:rsid w:val="00E3109C"/>
    <w:rsid w:val="00E341B4"/>
    <w:rsid w:val="00E40DB7"/>
    <w:rsid w:val="00E4578E"/>
    <w:rsid w:val="00E511D0"/>
    <w:rsid w:val="00E549BE"/>
    <w:rsid w:val="00E5543B"/>
    <w:rsid w:val="00E62483"/>
    <w:rsid w:val="00E829AB"/>
    <w:rsid w:val="00E83E71"/>
    <w:rsid w:val="00E96EB0"/>
    <w:rsid w:val="00EA050A"/>
    <w:rsid w:val="00EA7745"/>
    <w:rsid w:val="00EB0BBF"/>
    <w:rsid w:val="00EB0C82"/>
    <w:rsid w:val="00EB332B"/>
    <w:rsid w:val="00EB4794"/>
    <w:rsid w:val="00EB779B"/>
    <w:rsid w:val="00EC5325"/>
    <w:rsid w:val="00EC729C"/>
    <w:rsid w:val="00ED093E"/>
    <w:rsid w:val="00ED1C76"/>
    <w:rsid w:val="00EE1397"/>
    <w:rsid w:val="00EE1F0C"/>
    <w:rsid w:val="00EE2530"/>
    <w:rsid w:val="00EE35C5"/>
    <w:rsid w:val="00EE4203"/>
    <w:rsid w:val="00EE77FC"/>
    <w:rsid w:val="00F04E0F"/>
    <w:rsid w:val="00F151EC"/>
    <w:rsid w:val="00F2259C"/>
    <w:rsid w:val="00F2580B"/>
    <w:rsid w:val="00F34720"/>
    <w:rsid w:val="00F35C2A"/>
    <w:rsid w:val="00F41D79"/>
    <w:rsid w:val="00F41E71"/>
    <w:rsid w:val="00F52587"/>
    <w:rsid w:val="00F602E1"/>
    <w:rsid w:val="00F622F6"/>
    <w:rsid w:val="00F62404"/>
    <w:rsid w:val="00F64550"/>
    <w:rsid w:val="00F73A38"/>
    <w:rsid w:val="00F86FBC"/>
    <w:rsid w:val="00FA051F"/>
    <w:rsid w:val="00FA1F61"/>
    <w:rsid w:val="00FA4019"/>
    <w:rsid w:val="00FA48C7"/>
    <w:rsid w:val="00FA7E00"/>
    <w:rsid w:val="00FC4A32"/>
    <w:rsid w:val="00FD2C9D"/>
    <w:rsid w:val="00FD616B"/>
    <w:rsid w:val="00FE320C"/>
    <w:rsid w:val="00FF0BED"/>
    <w:rsid w:val="00FF3BFF"/>
    <w:rsid w:val="6613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A33F4"/>
  <w15:chartTrackingRefBased/>
  <w15:docId w15:val="{39037D10-C5F6-45BB-8CA1-666E9DFD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4E1C"/>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next w:val="Bullet"/>
    <w:uiPriority w:val="99"/>
    <w:unhideWhenUsed/>
    <w:qFormat/>
    <w:rsid w:val="00525FA9"/>
    <w:pPr>
      <w:numPr>
        <w:numId w:val="38"/>
      </w:numPr>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aliases w:val="Heading,Quote/Shout-out"/>
    <w:basedOn w:val="Heading2"/>
    <w:next w:val="Normal"/>
    <w:autoRedefine/>
    <w:uiPriority w:val="39"/>
    <w:unhideWhenUsed/>
    <w:qFormat/>
    <w:rsid w:val="007B0F62"/>
    <w:pPr>
      <w:keepNext/>
      <w:keepLines/>
      <w:spacing w:before="240" w:after="360"/>
      <w:outlineLvl w:val="9"/>
    </w:pPr>
    <w:rPr>
      <w:rFonts w:eastAsiaTheme="majorEastAsia"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character" w:styleId="CommentReference">
    <w:name w:val="annotation reference"/>
    <w:basedOn w:val="DefaultParagraphFont"/>
    <w:uiPriority w:val="99"/>
    <w:semiHidden/>
    <w:unhideWhenUsed/>
    <w:rsid w:val="00854E1C"/>
    <w:rPr>
      <w:sz w:val="16"/>
      <w:szCs w:val="16"/>
    </w:rPr>
  </w:style>
  <w:style w:type="paragraph" w:styleId="CommentText">
    <w:name w:val="annotation text"/>
    <w:basedOn w:val="Normal"/>
    <w:link w:val="CommentTextChar"/>
    <w:uiPriority w:val="99"/>
    <w:unhideWhenUsed/>
    <w:rsid w:val="00854E1C"/>
  </w:style>
  <w:style w:type="character" w:customStyle="1" w:styleId="CommentTextChar">
    <w:name w:val="Comment Text Char"/>
    <w:basedOn w:val="DefaultParagraphFont"/>
    <w:link w:val="CommentText"/>
    <w:uiPriority w:val="99"/>
    <w:rsid w:val="00854E1C"/>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854E1C"/>
    <w:rPr>
      <w:b/>
      <w:bCs/>
    </w:rPr>
  </w:style>
  <w:style w:type="character" w:customStyle="1" w:styleId="CommentSubjectChar">
    <w:name w:val="Comment Subject Char"/>
    <w:basedOn w:val="CommentTextChar"/>
    <w:link w:val="CommentSubject"/>
    <w:uiPriority w:val="99"/>
    <w:semiHidden/>
    <w:rsid w:val="00854E1C"/>
    <w:rPr>
      <w:rFonts w:ascii="Arial" w:eastAsia="Times New Roman" w:hAnsi="Arial" w:cs="Arial"/>
      <w:b/>
      <w:bCs/>
      <w:color w:val="5F5F5F"/>
      <w:sz w:val="20"/>
      <w:szCs w:val="20"/>
      <w:lang w:eastAsia="en-GB"/>
    </w:rPr>
  </w:style>
  <w:style w:type="paragraph" w:customStyle="1" w:styleId="Tableheading">
    <w:name w:val="Table heading"/>
    <w:basedOn w:val="Table-Body-centred"/>
    <w:link w:val="TableheadingChar"/>
    <w:qFormat/>
    <w:rsid w:val="00854E1C"/>
    <w:rPr>
      <w:b/>
    </w:rPr>
  </w:style>
  <w:style w:type="character" w:customStyle="1" w:styleId="Table-Body-centredChar">
    <w:name w:val="Table - Body - centred Char"/>
    <w:basedOn w:val="DefaultParagraphFont"/>
    <w:link w:val="Table-Body-centred"/>
    <w:rsid w:val="00854E1C"/>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854E1C"/>
    <w:rPr>
      <w:rFonts w:ascii="Arial" w:eastAsiaTheme="minorEastAsia" w:hAnsi="Arial" w:cs="Arial"/>
      <w:b/>
      <w:color w:val="4D4D4C"/>
      <w:sz w:val="18"/>
      <w:szCs w:val="18"/>
      <w:lang w:eastAsia="ja-JP"/>
    </w:rPr>
  </w:style>
  <w:style w:type="paragraph" w:customStyle="1" w:styleId="Source">
    <w:name w:val="Source"/>
    <w:basedOn w:val="Footer"/>
    <w:link w:val="SourceChar"/>
    <w:qFormat/>
    <w:rsid w:val="00B64E15"/>
  </w:style>
  <w:style w:type="character" w:customStyle="1" w:styleId="SourceChar">
    <w:name w:val="Source Char"/>
    <w:basedOn w:val="FooterChar"/>
    <w:link w:val="Source"/>
    <w:rsid w:val="00B64E15"/>
    <w:rPr>
      <w:rFonts w:ascii="Arial" w:eastAsia="Times New Roman" w:hAnsi="Arial" w:cs="Arial"/>
      <w:sz w:val="18"/>
      <w:szCs w:val="20"/>
      <w:lang w:eastAsia="en-GB"/>
    </w:rPr>
  </w:style>
  <w:style w:type="numbering" w:customStyle="1" w:styleId="Bulletpoints">
    <w:name w:val="Bullet points"/>
    <w:basedOn w:val="NoList"/>
    <w:uiPriority w:val="99"/>
    <w:rsid w:val="00A57BA1"/>
    <w:pPr>
      <w:numPr>
        <w:numId w:val="35"/>
      </w:numPr>
    </w:pPr>
  </w:style>
  <w:style w:type="paragraph" w:customStyle="1" w:styleId="Bullet">
    <w:name w:val="Bullet"/>
    <w:basedOn w:val="Normal"/>
    <w:qFormat/>
    <w:rsid w:val="00525FA9"/>
    <w:pPr>
      <w:numPr>
        <w:numId w:val="37"/>
      </w:numPr>
      <w:ind w:left="1080"/>
    </w:pPr>
  </w:style>
  <w:style w:type="paragraph" w:styleId="Revision">
    <w:name w:val="Revision"/>
    <w:hidden/>
    <w:uiPriority w:val="99"/>
    <w:semiHidden/>
    <w:rsid w:val="0090005D"/>
    <w:pPr>
      <w:spacing w:after="0" w:line="240" w:lineRule="auto"/>
    </w:pPr>
    <w:rPr>
      <w:rFonts w:ascii="Arial" w:eastAsia="Times New Roman" w:hAnsi="Arial" w:cs="Arial"/>
      <w:color w:val="5F5F5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hyperlink" Target="mailto:info@ahdb.org.uk"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8.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ahdbonline.sharepoint.com/sites/BrandGuide/OfficeTemplates/AHDB%20General%20template.dotx" TargetMode="External"/></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hdbBrandTaxHTField xmlns="http://schemas.microsoft.com/sharepoint/v3">
      <Terms xmlns="http://schemas.microsoft.com/office/infopath/2007/PartnerControls"/>
    </ahdbBrandTaxHTField>
    <_ip_UnifiedCompliancePolicyUIAction xmlns="http://schemas.microsoft.com/sharepoint/v3" xsi:nil="true"/>
    <ahdbFunctionTaxHTField xmlns="http://schemas.microsoft.com/sharepoint/v3">
      <Terms xmlns="http://schemas.microsoft.com/office/infopath/2007/PartnerControls"/>
    </ahdbFunctionTaxHTField>
    <ahdbCalFunction xmlns="http://schemas.microsoft.com/sharepoint/v3" xsi:nil="true"/>
    <ahdbTopicTaxHTField xmlns="http://schemas.microsoft.com/sharepoint/v3">
      <Terms xmlns="http://schemas.microsoft.com/office/infopath/2007/PartnerControls"/>
    </ahdbTopicTaxHTField>
    <l7d229c34431435e9d943c1844e0566e xmlns="58e06dfd-3cf8-4dca-8d43-d968f48878b3">
      <Terms xmlns="http://schemas.microsoft.com/office/infopath/2007/PartnerControls"/>
    </l7d229c34431435e9d943c1844e0566e>
    <ahdbCalContentSubType xmlns="http://schemas.microsoft.com/sharepoint/v3" xsi:nil="true"/>
    <_ip_UnifiedCompliancePolicyProperties xmlns="http://schemas.microsoft.com/sharepoint/v3" xsi:nil="true"/>
    <ahdbCalContentType xmlns="http://schemas.microsoft.com/sharepoint/v3" xsi:nil="true"/>
    <ahdbOwner xmlns="58e06dfd-3cf8-4dca-8d43-d968f48878b3">
      <UserInfo>
        <DisplayName/>
        <AccountId xsi:nil="true"/>
        <AccountType/>
      </UserInfo>
    </ahdbOwner>
    <ahdbCalActivity xmlns="http://schemas.microsoft.com/sharepoint/v3" xsi:nil="true"/>
    <TaxCatchAll xmlns="58e06dfd-3cf8-4dca-8d43-d968f48878b3" xsi:nil="true"/>
    <lcf76f155ced4ddcb4097134ff3c332f xmlns="97208703-9408-4d39-82ed-8f03553bfa64">
      <Terms xmlns="http://schemas.microsoft.com/office/infopath/2007/PartnerControls"/>
    </lcf76f155ced4ddcb4097134ff3c332f>
    <ahdbContentTypeTaxHTField xmlns="http://schemas.microsoft.com/sharepoint/v3">
      <Terms xmlns="http://schemas.microsoft.com/office/infopath/2007/PartnerControls"/>
    </ahdbContentType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458D731EC6E14A93C1A511FD77CFF4" ma:contentTypeVersion="33" ma:contentTypeDescription="Create a new document." ma:contentTypeScope="" ma:versionID="bfa0a3e1b063a64ed60c4a412be88cc1">
  <xsd:schema xmlns:xsd="http://www.w3.org/2001/XMLSchema" xmlns:xs="http://www.w3.org/2001/XMLSchema" xmlns:p="http://schemas.microsoft.com/office/2006/metadata/properties" xmlns:ns1="http://schemas.microsoft.com/sharepoint/v3" xmlns:ns2="58e06dfd-3cf8-4dca-8d43-d968f48878b3" xmlns:ns3="97208703-9408-4d39-82ed-8f03553bfa64" targetNamespace="http://schemas.microsoft.com/office/2006/metadata/properties" ma:root="true" ma:fieldsID="1f1df10a5b4bfd330682b947d9aa480b" ns1:_="" ns2:_="" ns3:_="">
    <xsd:import namespace="http://schemas.microsoft.com/sharepoint/v3"/>
    <xsd:import namespace="58e06dfd-3cf8-4dca-8d43-d968f48878b3"/>
    <xsd:import namespace="97208703-9408-4d39-82ed-8f03553bfa64"/>
    <xsd:element name="properties">
      <xsd:complexType>
        <xsd:sequence>
          <xsd:element name="documentManagement">
            <xsd:complexType>
              <xsd:all>
                <xsd:element ref="ns2:l7d229c34431435e9d943c1844e0566e" minOccurs="0"/>
                <xsd:element ref="ns2:TaxCatchAll" minOccurs="0"/>
                <xsd:element ref="ns1:ahdbContentTypeTaxHTField" minOccurs="0"/>
                <xsd:element ref="ns1:ahdbTopicTaxHTField" minOccurs="0"/>
                <xsd:element ref="ns1:ahdbFunctionTaxHTField" minOccurs="0"/>
                <xsd:element ref="ns1:ahdbBrandTaxHTField" minOccurs="0"/>
                <xsd:element ref="ns2:ahdbOwner" minOccurs="0"/>
                <xsd:element ref="ns1:ahdbCalContentType" minOccurs="0"/>
                <xsd:element ref="ns1:ahdbCalContentSubType" minOccurs="0"/>
                <xsd:element ref="ns1:ahdbCalFunction" minOccurs="0"/>
                <xsd:element ref="ns1:ahdbCalActivity"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1:_ip_UnifiedCompliancePolicyProperties" minOccurs="0"/>
                <xsd:element ref="ns1:_ip_UnifiedCompliancePolicyUIAction"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hdbContentTypeTaxHTField" ma:index="12" nillable="true" ma:taxonomy="true" ma:internalName="ahdbContentTypeTaxHTField" ma:taxonomyFieldName="ahdbContentType" ma:displayName="Content Type" ma:default="" ma:fieldId="{528b7dbd-8a1e-4a67-830d-0253f6b614b8}" ma:sspId="097f4682-e045-4066-b40e-631584043934" ma:termSetId="b78fe81f-f360-4236-9952-a7c319ae0885" ma:anchorId="00000000-0000-0000-0000-000000000000" ma:open="false" ma:isKeyword="false">
      <xsd:complexType>
        <xsd:sequence>
          <xsd:element ref="pc:Terms" minOccurs="0" maxOccurs="1"/>
        </xsd:sequence>
      </xsd:complexType>
    </xsd:element>
    <xsd:element name="ahdbTopicTaxHTField" ma:index="14" nillable="true" ma:taxonomy="true" ma:internalName="ahdbTopicTaxHTField" ma:taxonomyFieldName="ahdbTopic" ma:displayName="Topic" ma:default="" ma:fieldId="{09866e63-f53d-447d-bbcc-9ced045cdd8d}" ma:taxonomyMulti="true" ma:sspId="097f4682-e045-4066-b40e-631584043934" ma:termSetId="0fca8ffd-9822-41e3-bc65-5611830db095" ma:anchorId="00000000-0000-0000-0000-000000000000" ma:open="false" ma:isKeyword="false">
      <xsd:complexType>
        <xsd:sequence>
          <xsd:element ref="pc:Terms" minOccurs="0" maxOccurs="1"/>
        </xsd:sequence>
      </xsd:complexType>
    </xsd:element>
    <xsd:element name="ahdbFunctionTaxHTField" ma:index="16" nillable="true" ma:taxonomy="true" ma:internalName="ahdbFunctionTaxHTField" ma:taxonomyFieldName="ahdbFunction" ma:displayName="Function" ma:default="" ma:fieldId="{feb3493a-21f9-46f9-98e0-ecb617d0050d}" ma:sspId="097f4682-e045-4066-b40e-631584043934" ma:termSetId="c9f645e3-4a3a-44ce-8bd6-c459f7665e70" ma:anchorId="00000000-0000-0000-0000-000000000000" ma:open="false" ma:isKeyword="false">
      <xsd:complexType>
        <xsd:sequence>
          <xsd:element ref="pc:Terms" minOccurs="0" maxOccurs="1"/>
        </xsd:sequence>
      </xsd:complexType>
    </xsd:element>
    <xsd:element name="ahdbBrandTaxHTField" ma:index="18" nillable="true" ma:taxonomy="true" ma:internalName="ahdbBrandTaxHTField" ma:taxonomyFieldName="ahdbBrand" ma:displayName="Brand" ma:default="" ma:fieldId="{0d71f9e9-e87c-44b3-af40-c468465118e4}" ma:taxonomyMulti="true" ma:sspId="097f4682-e045-4066-b40e-631584043934" ma:termSetId="b2c6c51c-863b-448c-8acd-dde0a2131ba3" ma:anchorId="00000000-0000-0000-0000-000000000000" ma:open="false" ma:isKeyword="false">
      <xsd:complexType>
        <xsd:sequence>
          <xsd:element ref="pc:Terms" minOccurs="0" maxOccurs="1"/>
        </xsd:sequence>
      </xsd:complexType>
    </xsd:element>
    <xsd:element name="ahdbCalContentType" ma:index="20" nillable="true" ma:displayName="ahdbCalContentType" ma:internalName="ahdbCalContentType">
      <xsd:simpleType>
        <xsd:restriction base="dms:Text"/>
      </xsd:simpleType>
    </xsd:element>
    <xsd:element name="ahdbCalContentSubType" ma:index="21" nillable="true" ma:displayName="ahdbCalContentSubType" ma:internalName="ahdbCalContentSubType">
      <xsd:simpleType>
        <xsd:restriction base="dms:Text"/>
      </xsd:simpleType>
    </xsd:element>
    <xsd:element name="ahdbCalFunction" ma:index="22" nillable="true" ma:displayName="ahdbCalFunction" ma:internalName="ahdbCalFunction">
      <xsd:simpleType>
        <xsd:restriction base="dms:Text"/>
      </xsd:simpleType>
    </xsd:element>
    <xsd:element name="ahdbCalActivity" ma:index="23" nillable="true" ma:displayName="ahdbCalActivity" ma:internalName="ahdbCalActivity">
      <xsd:simpleType>
        <xsd:restriction base="dms:Text"/>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06dfd-3cf8-4dca-8d43-d968f48878b3" elementFormDefault="qualified">
    <xsd:import namespace="http://schemas.microsoft.com/office/2006/documentManagement/types"/>
    <xsd:import namespace="http://schemas.microsoft.com/office/infopath/2007/PartnerControls"/>
    <xsd:element name="l7d229c34431435e9d943c1844e0566e" ma:index="9" nillable="true" ma:taxonomy="true" ma:internalName="l7d229c34431435e9d943c1844e0566e" ma:taxonomyFieldName="ahdbSectorClassification" ma:displayName="Sector Classification" ma:default="" ma:fieldId="{57d229c3-4431-435e-9d94-3c1844e0566e}" ma:taxonomyMulti="true" ma:sspId="097f4682-e045-4066-b40e-631584043934" ma:termSetId="f75a93e5-5e0e-4f5b-bda6-240f96a13b1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7a1d5e-9126-4377-8b76-ddee89fa9d4d}" ma:internalName="TaxCatchAll" ma:showField="CatchAllData" ma:web="58e06dfd-3cf8-4dca-8d43-d968f48878b3">
      <xsd:complexType>
        <xsd:complexContent>
          <xsd:extension base="dms:MultiChoiceLookup">
            <xsd:sequence>
              <xsd:element name="Value" type="dms:Lookup" maxOccurs="unbounded" minOccurs="0" nillable="true"/>
            </xsd:sequence>
          </xsd:extension>
        </xsd:complexContent>
      </xsd:complexType>
    </xsd:element>
    <xsd:element name="ahdbOwner" ma:index="19" nillable="true" ma:displayName="Owner" ma:internalName="ahdb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08703-9408-4d39-82ed-8f03553bfa64"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097f4682-e045-4066-b40e-631584043934"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5D1C5-11FB-4ECF-8DCA-B9F148CD7047}">
  <ds:schemaRefs>
    <ds:schemaRef ds:uri="http://schemas.openxmlformats.org/officeDocument/2006/bibliography"/>
  </ds:schemaRefs>
</ds:datastoreItem>
</file>

<file path=customXml/itemProps2.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 ds:uri="http://schemas.microsoft.com/sharepoint/v3"/>
    <ds:schemaRef ds:uri="58e06dfd-3cf8-4dca-8d43-d968f48878b3"/>
    <ds:schemaRef ds:uri="97208703-9408-4d39-82ed-8f03553bfa64"/>
  </ds:schemaRefs>
</ds:datastoreItem>
</file>

<file path=customXml/itemProps3.xml><?xml version="1.0" encoding="utf-8"?>
<ds:datastoreItem xmlns:ds="http://schemas.openxmlformats.org/officeDocument/2006/customXml" ds:itemID="{F6D52485-CF05-4685-AF2A-4FF16CF89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06dfd-3cf8-4dca-8d43-d968f48878b3"/>
    <ds:schemaRef ds:uri="97208703-9408-4d39-82ed-8f03553bf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93D26-8EBC-43EE-AC33-2324F3939CE1}">
  <ds:schemaRefs>
    <ds:schemaRef ds:uri="http://schemas.microsoft.com/sharepoint/v3/contenttype/forms"/>
  </ds:schemaRefs>
</ds:datastoreItem>
</file>

<file path=docMetadata/LabelInfo.xml><?xml version="1.0" encoding="utf-8"?>
<clbl:labelList xmlns:clbl="http://schemas.microsoft.com/office/2020/mipLabelMetadata">
  <clbl:label id="{247acc34-5011-4832-85e6-4d28a09e4a0b}" enabled="1" method="Privileged" siteId="{a12ce54b-3d3d-4346-95ef-ff13ca5dd47d}" removed="0"/>
</clbl:labelList>
</file>

<file path=docProps/app.xml><?xml version="1.0" encoding="utf-8"?>
<Properties xmlns="http://schemas.openxmlformats.org/officeDocument/2006/extended-properties" xmlns:vt="http://schemas.openxmlformats.org/officeDocument/2006/docPropsVTypes">
  <Template>AHDB%20General%20template</Template>
  <TotalTime>7</TotalTime>
  <Pages>6</Pages>
  <Words>686</Words>
  <Characters>3916</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2025_Antibiotic_usage_data_in_pigs_from_the_electronic_Medicines_Book</vt:lpstr>
    </vt:vector>
  </TitlesOfParts>
  <Company>AHDB</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2025_Antibiotic_usage_data_in_pigs_from_the_electronic_Medicines_Book</dc:title>
  <dc:subject/>
  <dc:creator>Freya Shuttleworth</dc:creator>
  <cp:keywords/>
  <dc:description/>
  <cp:lastModifiedBy>Miriam Drewett</cp:lastModifiedBy>
  <cp:revision>4</cp:revision>
  <cp:lastPrinted>2023-07-12T13:55:00Z</cp:lastPrinted>
  <dcterms:created xsi:type="dcterms:W3CDTF">2026-06-30T15:09:00Z</dcterms:created>
  <dcterms:modified xsi:type="dcterms:W3CDTF">2026-07-02T14:16:00Z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0x010100E5458D731EC6E14A93C1A511FD77CFF4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y fmtid="{D5CDD505-2E9C-101B-9397-08002B2CF9AE}" pid="16" name="docLang">
    <vt:lpwstr>en</vt:lpwstr>
  </property>
</Properties>
</file>